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8085"/>
      </w:tblGrid>
      <w:tr w:rsidR="00640798" w:rsidRPr="006C57BB" w:rsidTr="00C44F4E">
        <w:trPr>
          <w:trHeight w:val="20"/>
          <w:jc w:val="center"/>
        </w:trPr>
        <w:tc>
          <w:tcPr>
            <w:tcW w:w="7650" w:type="dxa"/>
            <w:vAlign w:val="center"/>
          </w:tcPr>
          <w:p w:rsidR="00640798" w:rsidRPr="006C57BB" w:rsidRDefault="00EC6A88" w:rsidP="00C44F4E">
            <w:pPr>
              <w:pStyle w:val="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6C57BB">
              <w:rPr>
                <w:sz w:val="24"/>
                <w:szCs w:val="24"/>
              </w:rPr>
              <w:t xml:space="preserve">Запрос на разъяснение положений </w:t>
            </w:r>
            <w:r w:rsidR="000E4AC3" w:rsidRPr="006C57BB">
              <w:rPr>
                <w:sz w:val="24"/>
                <w:szCs w:val="24"/>
              </w:rPr>
              <w:t>документации</w:t>
            </w:r>
            <w:r w:rsidR="00016026" w:rsidRPr="006C57BB">
              <w:rPr>
                <w:sz w:val="24"/>
                <w:szCs w:val="24"/>
              </w:rPr>
              <w:t xml:space="preserve"> </w:t>
            </w:r>
            <w:r w:rsidR="001D2B80" w:rsidRPr="006C57BB">
              <w:rPr>
                <w:sz w:val="24"/>
                <w:szCs w:val="24"/>
              </w:rPr>
              <w:t xml:space="preserve">№ </w:t>
            </w:r>
            <w:r w:rsidR="005A134B" w:rsidRPr="005A134B">
              <w:rPr>
                <w:sz w:val="24"/>
                <w:szCs w:val="24"/>
              </w:rPr>
              <w:t>32514727447</w:t>
            </w:r>
          </w:p>
        </w:tc>
        <w:tc>
          <w:tcPr>
            <w:tcW w:w="8085" w:type="dxa"/>
            <w:vAlign w:val="center"/>
          </w:tcPr>
          <w:p w:rsidR="00640798" w:rsidRPr="006C57BB" w:rsidRDefault="00EC6A88" w:rsidP="00C44F4E">
            <w:pPr>
              <w:jc w:val="center"/>
              <w:rPr>
                <w:b/>
                <w:bCs/>
                <w:sz w:val="24"/>
                <w:szCs w:val="24"/>
              </w:rPr>
            </w:pPr>
            <w:r w:rsidRPr="006C57BB">
              <w:rPr>
                <w:b/>
                <w:bCs/>
                <w:sz w:val="24"/>
                <w:szCs w:val="24"/>
              </w:rPr>
              <w:t xml:space="preserve">Разъяснения </w:t>
            </w:r>
            <w:r w:rsidR="000E4AC3" w:rsidRPr="006C57BB">
              <w:rPr>
                <w:b/>
                <w:sz w:val="24"/>
                <w:szCs w:val="24"/>
              </w:rPr>
              <w:t xml:space="preserve">положений документации № </w:t>
            </w:r>
            <w:r w:rsidR="005A134B" w:rsidRPr="005A134B">
              <w:rPr>
                <w:b/>
                <w:sz w:val="24"/>
                <w:szCs w:val="24"/>
              </w:rPr>
              <w:t>32514727447</w:t>
            </w:r>
          </w:p>
        </w:tc>
      </w:tr>
      <w:tr w:rsidR="00016026" w:rsidRPr="006C57BB" w:rsidTr="00C44F4E">
        <w:trPr>
          <w:trHeight w:val="70"/>
          <w:jc w:val="center"/>
        </w:trPr>
        <w:tc>
          <w:tcPr>
            <w:tcW w:w="7650" w:type="dxa"/>
          </w:tcPr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Добрый день! Выявлены нарушения законодательства Российской Федерации при размещении конкурсной процедуры № 32514727447 «Поставка реагента Раствор Ингибитора </w:t>
            </w:r>
            <w:proofErr w:type="spellStart"/>
            <w:r w:rsidRPr="00E63615">
              <w:rPr>
                <w:sz w:val="24"/>
                <w:szCs w:val="24"/>
              </w:rPr>
              <w:t>Аминат</w:t>
            </w:r>
            <w:proofErr w:type="spellEnd"/>
            <w:r w:rsidRPr="00E63615">
              <w:rPr>
                <w:sz w:val="24"/>
                <w:szCs w:val="24"/>
              </w:rPr>
              <w:t xml:space="preserve"> К»: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В данной процедуре запрашивается к поставке реагент </w:t>
            </w:r>
            <w:proofErr w:type="spellStart"/>
            <w:r w:rsidRPr="00E63615">
              <w:rPr>
                <w:sz w:val="24"/>
                <w:szCs w:val="24"/>
              </w:rPr>
              <w:t>Аминат</w:t>
            </w:r>
            <w:proofErr w:type="spellEnd"/>
            <w:r w:rsidRPr="00E63615">
              <w:rPr>
                <w:sz w:val="24"/>
                <w:szCs w:val="24"/>
              </w:rPr>
              <w:t xml:space="preserve"> К без использования слов «или эквивалент».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В техническом задании заказчик ссылается на подпункт «б» пункта 3 части 6.1 статьи 3 Федерального закона от 18.07.2011 № 223-ФЗ «О закупках товаров, работ, услуг отдельными видами юридических лиц».  Данный подпункт применим только к запасным частям и расходным материалам к машинам и оборудованию. Компетенций заказчика должно хватить, чтобы можно было оценить, что </w:t>
            </w:r>
            <w:proofErr w:type="spellStart"/>
            <w:r w:rsidRPr="00E63615">
              <w:rPr>
                <w:sz w:val="24"/>
                <w:szCs w:val="24"/>
              </w:rPr>
              <w:t>антискалант</w:t>
            </w:r>
            <w:proofErr w:type="spellEnd"/>
            <w:r w:rsidRPr="00E63615">
              <w:rPr>
                <w:sz w:val="24"/>
                <w:szCs w:val="24"/>
              </w:rPr>
              <w:t xml:space="preserve"> никак не может являться ни запасной частью </w:t>
            </w:r>
            <w:proofErr w:type="spellStart"/>
            <w:r w:rsidRPr="00E63615">
              <w:rPr>
                <w:sz w:val="24"/>
                <w:szCs w:val="24"/>
              </w:rPr>
              <w:t>обратноосматической</w:t>
            </w:r>
            <w:proofErr w:type="spellEnd"/>
            <w:r w:rsidRPr="00E63615">
              <w:rPr>
                <w:sz w:val="24"/>
                <w:szCs w:val="24"/>
              </w:rPr>
              <w:t xml:space="preserve"> установки, ни ее расходным материалом. Тем более конкретная марка </w:t>
            </w:r>
            <w:proofErr w:type="spellStart"/>
            <w:r w:rsidRPr="00E63615">
              <w:rPr>
                <w:sz w:val="24"/>
                <w:szCs w:val="24"/>
              </w:rPr>
              <w:t>антискаланта</w:t>
            </w:r>
            <w:proofErr w:type="spellEnd"/>
            <w:r w:rsidRPr="00E63615">
              <w:rPr>
                <w:sz w:val="24"/>
                <w:szCs w:val="24"/>
              </w:rPr>
              <w:t xml:space="preserve"> никак не может сопоставляться с конкретной </w:t>
            </w:r>
            <w:proofErr w:type="spellStart"/>
            <w:r w:rsidRPr="00E63615">
              <w:rPr>
                <w:sz w:val="24"/>
                <w:szCs w:val="24"/>
              </w:rPr>
              <w:t>обратноосматической</w:t>
            </w:r>
            <w:proofErr w:type="spellEnd"/>
            <w:r w:rsidRPr="00E63615">
              <w:rPr>
                <w:sz w:val="24"/>
                <w:szCs w:val="24"/>
              </w:rPr>
              <w:t xml:space="preserve"> установкой или мембраной. 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E63615">
              <w:rPr>
                <w:sz w:val="24"/>
                <w:szCs w:val="24"/>
              </w:rPr>
              <w:t>Аминат</w:t>
            </w:r>
            <w:proofErr w:type="spellEnd"/>
            <w:r w:rsidRPr="00E63615">
              <w:rPr>
                <w:sz w:val="24"/>
                <w:szCs w:val="24"/>
              </w:rPr>
              <w:t xml:space="preserve"> </w:t>
            </w:r>
            <w:proofErr w:type="gramStart"/>
            <w:r w:rsidRPr="00E63615">
              <w:rPr>
                <w:sz w:val="24"/>
                <w:szCs w:val="24"/>
              </w:rPr>
              <w:t>К</w:t>
            </w:r>
            <w:proofErr w:type="gramEnd"/>
            <w:r w:rsidRPr="00E63615">
              <w:rPr>
                <w:sz w:val="24"/>
                <w:szCs w:val="24"/>
              </w:rPr>
              <w:t xml:space="preserve"> предназначен для ингибирования отложений минеральных солей в мембранных (обратноосмотических) установках очистки воды на стадии водоподготовки. На рынке множество высокоэффективных реагентов аналогичного назначения. Состав </w:t>
            </w:r>
            <w:proofErr w:type="spellStart"/>
            <w:r w:rsidRPr="00E63615">
              <w:rPr>
                <w:sz w:val="24"/>
                <w:szCs w:val="24"/>
              </w:rPr>
              <w:t>Амината</w:t>
            </w:r>
            <w:proofErr w:type="spellEnd"/>
            <w:r w:rsidRPr="00E63615">
              <w:rPr>
                <w:sz w:val="24"/>
                <w:szCs w:val="24"/>
              </w:rPr>
              <w:t xml:space="preserve"> К не обладает эксклюзивными свойствами, которые исключали бы возможность использования аналогичных </w:t>
            </w:r>
            <w:proofErr w:type="spellStart"/>
            <w:r w:rsidRPr="00E63615">
              <w:rPr>
                <w:sz w:val="24"/>
                <w:szCs w:val="24"/>
              </w:rPr>
              <w:t>антискалантов</w:t>
            </w:r>
            <w:proofErr w:type="spellEnd"/>
            <w:r w:rsidRPr="00E63615">
              <w:rPr>
                <w:sz w:val="24"/>
                <w:szCs w:val="24"/>
              </w:rPr>
              <w:t xml:space="preserve"> в системах обратного осмоса. 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Эксплуатация мембран обратного осмоса не предполагает использование определенного реагента. </w:t>
            </w:r>
            <w:proofErr w:type="spellStart"/>
            <w:r w:rsidRPr="00E63615">
              <w:rPr>
                <w:sz w:val="24"/>
                <w:szCs w:val="24"/>
              </w:rPr>
              <w:t>Мамбраны</w:t>
            </w:r>
            <w:proofErr w:type="spellEnd"/>
            <w:r w:rsidRPr="00E63615">
              <w:rPr>
                <w:sz w:val="24"/>
                <w:szCs w:val="24"/>
              </w:rPr>
              <w:t xml:space="preserve"> разработаны для работы в широком диапазоне условий и могут быть совместимы с различными типами </w:t>
            </w:r>
            <w:proofErr w:type="spellStart"/>
            <w:r w:rsidRPr="00E63615">
              <w:rPr>
                <w:sz w:val="24"/>
                <w:szCs w:val="24"/>
              </w:rPr>
              <w:t>антискалантов</w:t>
            </w:r>
            <w:proofErr w:type="spellEnd"/>
            <w:r w:rsidRPr="00E63615">
              <w:rPr>
                <w:sz w:val="24"/>
                <w:szCs w:val="24"/>
              </w:rPr>
              <w:t xml:space="preserve">, включая </w:t>
            </w:r>
            <w:proofErr w:type="spellStart"/>
            <w:r w:rsidRPr="00E63615">
              <w:rPr>
                <w:sz w:val="24"/>
                <w:szCs w:val="24"/>
              </w:rPr>
              <w:t>Аминат</w:t>
            </w:r>
            <w:proofErr w:type="spellEnd"/>
            <w:r w:rsidRPr="00E63615">
              <w:rPr>
                <w:sz w:val="24"/>
                <w:szCs w:val="24"/>
              </w:rPr>
              <w:t xml:space="preserve"> К и другие </w:t>
            </w:r>
            <w:proofErr w:type="spellStart"/>
            <w:r w:rsidRPr="00E63615">
              <w:rPr>
                <w:sz w:val="24"/>
                <w:szCs w:val="24"/>
              </w:rPr>
              <w:t>антискаланты</w:t>
            </w:r>
            <w:proofErr w:type="spellEnd"/>
            <w:r w:rsidRPr="00E63615">
              <w:rPr>
                <w:sz w:val="24"/>
                <w:szCs w:val="24"/>
              </w:rPr>
              <w:t>. Это связано с тем, что основная функция мембран обратного осмоса — разделение растворов на основе размера молекул и заряда, а не взаимодействие с конкретным реагентом.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Более того, существующие технологии очистки воды и системы обратного осмоса не требуют использования единственного, специфического реагента для своей работы. Это означает, что требование использования исключительно </w:t>
            </w:r>
            <w:proofErr w:type="spellStart"/>
            <w:r w:rsidRPr="00E63615">
              <w:rPr>
                <w:sz w:val="24"/>
                <w:szCs w:val="24"/>
              </w:rPr>
              <w:t>Амината</w:t>
            </w:r>
            <w:proofErr w:type="spellEnd"/>
            <w:r w:rsidRPr="00E63615">
              <w:rPr>
                <w:sz w:val="24"/>
                <w:szCs w:val="24"/>
              </w:rPr>
              <w:t xml:space="preserve"> К необоснованным ограничением на участие в тендерных процедурах других производителей. Нарушен п.2 ч.1 ст.3 Закона №223-ФЗ. Отсутствие в описании объекта закупки слов «или эквивалент» ограничивает конкуренцию. 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Заказчик, оказывая услуги, которые включают этап водоподготовки с применением технологии обратного осмоса, должен обладать </w:t>
            </w:r>
            <w:r w:rsidRPr="00E63615">
              <w:rPr>
                <w:sz w:val="24"/>
                <w:szCs w:val="24"/>
              </w:rPr>
              <w:lastRenderedPageBreak/>
              <w:t xml:space="preserve">достаточными компетенциями, чтобы осознавать факт возможности применения любого </w:t>
            </w:r>
            <w:proofErr w:type="spellStart"/>
            <w:r w:rsidRPr="00E63615">
              <w:rPr>
                <w:sz w:val="24"/>
                <w:szCs w:val="24"/>
              </w:rPr>
              <w:t>антискаланта</w:t>
            </w:r>
            <w:proofErr w:type="spellEnd"/>
            <w:r w:rsidRPr="00E63615">
              <w:rPr>
                <w:sz w:val="24"/>
                <w:szCs w:val="24"/>
              </w:rPr>
              <w:t xml:space="preserve"> для обработки воды перед установкой обратного осмоса. То есть не исключается возможность сговора заказчика и конкретного поставщика. Злоупотребление формулировками и ссылками по п.3 ч.6.1 </w:t>
            </w:r>
            <w:proofErr w:type="spellStart"/>
            <w:r w:rsidRPr="00E63615">
              <w:rPr>
                <w:sz w:val="24"/>
                <w:szCs w:val="24"/>
              </w:rPr>
              <w:t>ст</w:t>
            </w:r>
            <w:proofErr w:type="spellEnd"/>
            <w:r w:rsidRPr="00E63615">
              <w:rPr>
                <w:sz w:val="24"/>
                <w:szCs w:val="24"/>
              </w:rPr>
              <w:t xml:space="preserve"> 3 Федерального закона от 18.07.2011 № 223-ФЗ «О закупках товаров, работ, услуг отдельными видами юридических лиц» и попытки размыть критерии его использования приводят к коррупционным рискам.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Согласно Техническому заданию реагент должен иметь массовую концентрацию </w:t>
            </w:r>
            <w:proofErr w:type="spellStart"/>
            <w:r w:rsidRPr="00E63615">
              <w:rPr>
                <w:sz w:val="24"/>
                <w:szCs w:val="24"/>
              </w:rPr>
              <w:t>фосфонатов</w:t>
            </w:r>
            <w:proofErr w:type="spellEnd"/>
            <w:r w:rsidRPr="00E63615">
              <w:rPr>
                <w:sz w:val="24"/>
                <w:szCs w:val="24"/>
              </w:rPr>
              <w:t xml:space="preserve"> в пересчете на PO43- не менее 250 г/дм3.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Закупаемые реагенты предназначены для ингибирования отложений минеральных солей в мембранных (обратноосмотических) установках очистки воды на стадии водоподготовки. Аналогичные по функциональному назначению реагенты могут иметь в составе разный набор компонентов, в том числе и те, которые фосфор не содержат. К тому же фосфор нормируется экологическими нормами, что требует дополнительного обоснования необходимости этого критерия.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В техническом задании Заказчик не привел обоснование необходимости содержания </w:t>
            </w:r>
            <w:proofErr w:type="spellStart"/>
            <w:r w:rsidRPr="00E63615">
              <w:rPr>
                <w:sz w:val="24"/>
                <w:szCs w:val="24"/>
              </w:rPr>
              <w:t>фосфонатов</w:t>
            </w:r>
            <w:proofErr w:type="spellEnd"/>
            <w:r w:rsidRPr="00E63615">
              <w:rPr>
                <w:sz w:val="24"/>
                <w:szCs w:val="24"/>
              </w:rPr>
              <w:t xml:space="preserve"> в концентрации не менее 250 г/дм3 в пересчете на PO43- 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Согласно п.1 ч.10 ст.4 Федерального закона №223-ФЗ при осуществлении закупок в документации о закупке указываются сведения, определенные положением о закупке, в том числе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РФ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Таким образом, в соответствии с требованиями Федерального закона №223-ФЗ, требования к функциональным и техническим характеристикам закупаемых реагентов должны быть документально обоснованы, однако заказчиком не предоставлено документальное обоснование того, что реагент должен иметь массовую концентрацию </w:t>
            </w:r>
            <w:proofErr w:type="spellStart"/>
            <w:r w:rsidRPr="00E63615">
              <w:rPr>
                <w:sz w:val="24"/>
                <w:szCs w:val="24"/>
              </w:rPr>
              <w:t>фосфонатов</w:t>
            </w:r>
            <w:proofErr w:type="spellEnd"/>
            <w:r w:rsidRPr="00E63615">
              <w:rPr>
                <w:sz w:val="24"/>
                <w:szCs w:val="24"/>
              </w:rPr>
              <w:t xml:space="preserve"> в пересчете на PO43- не менее 250 г/дм3.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Согласно Техническому заданию реагент должен иметь массовую </w:t>
            </w:r>
            <w:r w:rsidRPr="00E63615">
              <w:rPr>
                <w:sz w:val="24"/>
                <w:szCs w:val="24"/>
              </w:rPr>
              <w:lastRenderedPageBreak/>
              <w:t>концентрацию фосфористой кислоты в пересчете на PO43- не более 20 г/дм</w:t>
            </w:r>
            <w:proofErr w:type="gramStart"/>
            <w:r w:rsidRPr="00E63615">
              <w:rPr>
                <w:sz w:val="24"/>
                <w:szCs w:val="24"/>
              </w:rPr>
              <w:t>3 .</w:t>
            </w:r>
            <w:proofErr w:type="gramEnd"/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Закупаемые реагенты предназначены для ингибирования отложений минеральных солей в мембранных (обратноосмотических) установках очистки воды на стадии водоподготовки. Аналогичные по функциональному назначению реагенты могут иметь в составе разный набор кислот, усилителей, ПАВ и </w:t>
            </w:r>
            <w:proofErr w:type="gramStart"/>
            <w:r w:rsidRPr="00E63615">
              <w:rPr>
                <w:sz w:val="24"/>
                <w:szCs w:val="24"/>
              </w:rPr>
              <w:t>т.д..</w:t>
            </w:r>
            <w:proofErr w:type="gramEnd"/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В техническом задании Заказчик не привел обоснование необходимости содержания фосфористой кислоты в концентрации в пересчете на PO43- не более 20 г/дм3.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Согласно п.1 ч.10 ст.4 Федерального закона №223-ФЗ при осуществлении закупок в документации о закупке указываются сведения, определенные положением о закупке, в том числе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РФ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Таким образом, в соответствии с требованиями Федерального закона №223-ФЗ, требования к функциональным и техническим характеристикам закупаемых реагентов должны быть документально обоснованы, однако заказчиком не предоставлено документальное обоснование того, что реагент должен содержать фосфористую кислоту и именно в такой концентрации.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Согласно Техническому заданию реагент должен иметь рН препарата 5,0-7,0. Закупаемые реагенты предназначены для ингибирования отложений минеральных солей в мембранных (обратноосмотических) установках очистки воды на стадии водоподготовки. Аналогичные по функциональному назначению реагенты могут иметь различную плотность, по той причине, что плотность не оказывает прямого влияния на функциональные действия </w:t>
            </w:r>
            <w:proofErr w:type="spellStart"/>
            <w:r w:rsidRPr="00E63615">
              <w:rPr>
                <w:sz w:val="24"/>
                <w:szCs w:val="24"/>
              </w:rPr>
              <w:t>антискалантов</w:t>
            </w:r>
            <w:proofErr w:type="spellEnd"/>
            <w:r w:rsidRPr="00E63615">
              <w:rPr>
                <w:sz w:val="24"/>
                <w:szCs w:val="24"/>
              </w:rPr>
              <w:t>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Согласно п.1 ч.10 ст.4 Федерального закона №223-ФЗ при осуществлении закупок в документации о закупке указываются </w:t>
            </w:r>
            <w:r w:rsidRPr="00E63615">
              <w:rPr>
                <w:sz w:val="24"/>
                <w:szCs w:val="24"/>
              </w:rPr>
              <w:lastRenderedPageBreak/>
              <w:t>сведения, определенные положением о закупке, в том числе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РФ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Таким образом, в соответствии с требованиями Федерального закона №223-ФЗ, требования к функциональным и техническим характеристикам закупаемых реагентов должны быть документально обоснованы, однако заказчиком не предоставлено документальное обоснование того, что реагент должен иметь рН препарата 5,0-7,0.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Следовательно, установление данных требований является неправомерным.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Установление чрезмерно детализированных технических требований к закупаемым реагентам, не влияющих на их функциональное действие может свидетельствовать о заинтересованности технических специалистов Заказчика в поставке конкретных реагентов. Это нарушение Федерального закона №223-ФЗ, поскольку такие требования прямо ограничивают конкуренцию и создают преимущества для определенных поставщиков.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Согласно законодательству, технические требования должны быть минимально необходимыми для обеспечения безопасности и функциональности продукции, и не должны препятствовать предпринимательской деятельности. Включение излишне детализированных характеристик необоснованно и противоречит Федеральному закону №223-ФЗ.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Просим предоставить ФИО лиц, с указанием занимаемых ими должностей в компании ООО «Энергоресурс», входящих в состав закупочной комиссии, которые утверждают такое ограничивающее техническое задание, прописанное под конкретного производителя.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В дальнейшем в рамках рассмотрения дела в УФАС или </w:t>
            </w:r>
            <w:r w:rsidRPr="00E63615">
              <w:rPr>
                <w:sz w:val="24"/>
                <w:szCs w:val="24"/>
              </w:rPr>
              <w:lastRenderedPageBreak/>
              <w:t>правоохранительных органах будет заявлено ходатайство о возбуждении уголовного дела, в том числе для анализа предыдущих закупочных процедур.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Просим предоставить названия, ИНН/КПП организаций, предоставивших коммерческие предложения для формирования НМЦ данной закупочной процедуры. Данная информация в любом случае будет запрошена в рамках уголовного дела в случае усмотрения в действиях должностных лиц состава преступления.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На основании всего вышеизложенного следует, что в данной закупочной процедуре имеются неоднократные нарушения Федерального закона № 223-ФЗ, вследствие чего создаются условия для участия определенного круга участников, данный факт противоречит принципам равноправия и нарушает права других поставщиков на участие в закупке.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Также еще раз стоит отметить, что </w:t>
            </w:r>
            <w:proofErr w:type="spellStart"/>
            <w:r w:rsidRPr="00E63615">
              <w:rPr>
                <w:sz w:val="24"/>
                <w:szCs w:val="24"/>
              </w:rPr>
              <w:t>обратноосматическое</w:t>
            </w:r>
            <w:proofErr w:type="spellEnd"/>
            <w:r w:rsidRPr="00E63615">
              <w:rPr>
                <w:sz w:val="24"/>
                <w:szCs w:val="24"/>
              </w:rPr>
              <w:t xml:space="preserve"> оборудование ООО «Энергоресурс» не имеет какой-либо уникальный характер и не требует дозирования определенной марки реагента. ООО «Энергоресурс» является единственной организацией, которая додумалась объявить тендер на закупку реагента с ограничениями </w:t>
            </w:r>
            <w:proofErr w:type="gramStart"/>
            <w:r w:rsidRPr="00E63615">
              <w:rPr>
                <w:sz w:val="24"/>
                <w:szCs w:val="24"/>
              </w:rPr>
              <w:t>в  техническом</w:t>
            </w:r>
            <w:proofErr w:type="gramEnd"/>
            <w:r w:rsidRPr="00E63615">
              <w:rPr>
                <w:sz w:val="24"/>
                <w:szCs w:val="24"/>
              </w:rPr>
              <w:t xml:space="preserve"> задании такого плана.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В действиях закупочной Комиссии усматривается нарушение основ действующего законодательства РФ в области организации и проведения запроса предложений, Положения о закупках товаров, работ, услуг, а также организации и проведения конкурентных торгов. 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Исходя из всего вышеуказанного, необходимо в кратчайшие сроки: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-  изменить закупочную документацию в части указания «Поставка реагента Раствор Ингибитора </w:t>
            </w:r>
            <w:proofErr w:type="spellStart"/>
            <w:r w:rsidRPr="00E63615">
              <w:rPr>
                <w:sz w:val="24"/>
                <w:szCs w:val="24"/>
              </w:rPr>
              <w:t>Аминат</w:t>
            </w:r>
            <w:proofErr w:type="spellEnd"/>
            <w:r w:rsidRPr="00E63615">
              <w:rPr>
                <w:sz w:val="24"/>
                <w:szCs w:val="24"/>
              </w:rPr>
              <w:t xml:space="preserve"> К», указав вместо «Реагент Раствор Ингибитора </w:t>
            </w:r>
            <w:proofErr w:type="spellStart"/>
            <w:r w:rsidRPr="00E63615">
              <w:rPr>
                <w:sz w:val="24"/>
                <w:szCs w:val="24"/>
              </w:rPr>
              <w:t>Аминат</w:t>
            </w:r>
            <w:proofErr w:type="spellEnd"/>
            <w:r w:rsidRPr="00E63615">
              <w:rPr>
                <w:sz w:val="24"/>
                <w:szCs w:val="24"/>
              </w:rPr>
              <w:t xml:space="preserve"> К» - «Реагент Раствор Ингибитора </w:t>
            </w:r>
            <w:proofErr w:type="spellStart"/>
            <w:r w:rsidRPr="00E63615">
              <w:rPr>
                <w:sz w:val="24"/>
                <w:szCs w:val="24"/>
              </w:rPr>
              <w:t>Аминат</w:t>
            </w:r>
            <w:proofErr w:type="spellEnd"/>
            <w:r w:rsidRPr="00E63615">
              <w:rPr>
                <w:sz w:val="24"/>
                <w:szCs w:val="24"/>
              </w:rPr>
              <w:t xml:space="preserve"> К или эквивалент», </w:t>
            </w:r>
          </w:p>
          <w:p w:rsidR="00E63615" w:rsidRPr="00E63615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 xml:space="preserve">- убрать из </w:t>
            </w:r>
            <w:proofErr w:type="spellStart"/>
            <w:r w:rsidRPr="00E63615">
              <w:rPr>
                <w:sz w:val="24"/>
                <w:szCs w:val="24"/>
              </w:rPr>
              <w:t>техническог</w:t>
            </w:r>
            <w:proofErr w:type="spellEnd"/>
            <w:r w:rsidRPr="00E63615">
              <w:rPr>
                <w:sz w:val="24"/>
                <w:szCs w:val="24"/>
              </w:rPr>
              <w:t xml:space="preserve"> задания параметры, не влияющие на функциональное действие </w:t>
            </w:r>
            <w:proofErr w:type="spellStart"/>
            <w:r w:rsidRPr="00E63615">
              <w:rPr>
                <w:sz w:val="24"/>
                <w:szCs w:val="24"/>
              </w:rPr>
              <w:t>антискалантов</w:t>
            </w:r>
            <w:proofErr w:type="spellEnd"/>
            <w:r w:rsidRPr="00E63615">
              <w:rPr>
                <w:sz w:val="24"/>
                <w:szCs w:val="24"/>
              </w:rPr>
              <w:t xml:space="preserve">, </w:t>
            </w:r>
          </w:p>
          <w:p w:rsidR="00016026" w:rsidRPr="00022EE4" w:rsidRDefault="00E63615" w:rsidP="00E63615">
            <w:pPr>
              <w:suppressAutoHyphens/>
              <w:jc w:val="both"/>
              <w:rPr>
                <w:sz w:val="24"/>
                <w:szCs w:val="24"/>
              </w:rPr>
            </w:pPr>
            <w:r w:rsidRPr="00E63615">
              <w:rPr>
                <w:sz w:val="24"/>
                <w:szCs w:val="24"/>
              </w:rPr>
              <w:t>- после внесения изменений вернуть закупку на стадию подачи заявок.</w:t>
            </w:r>
          </w:p>
        </w:tc>
        <w:tc>
          <w:tcPr>
            <w:tcW w:w="8085" w:type="dxa"/>
          </w:tcPr>
          <w:p w:rsidR="00135497" w:rsidRDefault="003C7F12" w:rsidP="00951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="00135497" w:rsidRPr="00135497">
              <w:rPr>
                <w:sz w:val="24"/>
                <w:szCs w:val="24"/>
              </w:rPr>
              <w:t>В описание предмета закупки включено указание в отношении товарных знаков без использования слов «или эквивалент» в соответствии с подпунктом «б» пункта 3 части 6.1 статьи 3 Федерального закона от 18.07.2011 № 223-ФЗ «О закупках товаров, работ, услуг отдельными видами юридических лиц». Согласно паспорту установки обратного осмоса SOV-RO-50 использование реагентов других марок не допускается.</w:t>
            </w:r>
          </w:p>
          <w:p w:rsidR="00135497" w:rsidRDefault="003C7F12" w:rsidP="00951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35497" w:rsidRPr="00135497">
              <w:rPr>
                <w:sz w:val="24"/>
                <w:szCs w:val="24"/>
              </w:rPr>
              <w:t>Для определения товара участникам закупки следует руководствоваться характеристиками, представленными в Описании объекта закупки.</w:t>
            </w:r>
          </w:p>
          <w:p w:rsidR="00FC3C4C" w:rsidRPr="006C57BB" w:rsidRDefault="003C7F12" w:rsidP="00951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51B99" w:rsidRPr="00951B99">
              <w:rPr>
                <w:sz w:val="24"/>
                <w:szCs w:val="24"/>
              </w:rPr>
              <w:t>У Заказчика отсутствует обязанность предоставлять указанную в запросе информацию пот</w:t>
            </w:r>
            <w:r w:rsidR="00EA01E5">
              <w:rPr>
                <w:sz w:val="24"/>
                <w:szCs w:val="24"/>
              </w:rPr>
              <w:t xml:space="preserve">енциальным участникам закупки и не относится к предмету разъяснения закупочной документации. </w:t>
            </w:r>
          </w:p>
        </w:tc>
      </w:tr>
    </w:tbl>
    <w:p w:rsidR="003824AC" w:rsidRPr="004129CF" w:rsidRDefault="003824AC" w:rsidP="004129CF">
      <w:pPr>
        <w:rPr>
          <w:sz w:val="28"/>
          <w:szCs w:val="28"/>
        </w:rPr>
      </w:pPr>
    </w:p>
    <w:sectPr w:rsidR="003824AC" w:rsidRPr="004129CF" w:rsidSect="008C0A1B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swiss"/>
    <w:pitch w:val="variable"/>
    <w:sig w:usb0="80008023" w:usb1="00002042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5C0F"/>
    <w:multiLevelType w:val="hybridMultilevel"/>
    <w:tmpl w:val="36D2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892"/>
    <w:multiLevelType w:val="multilevel"/>
    <w:tmpl w:val="F090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A32FA"/>
    <w:multiLevelType w:val="multilevel"/>
    <w:tmpl w:val="9BB28B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CA6B03"/>
    <w:multiLevelType w:val="multilevel"/>
    <w:tmpl w:val="1FE2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77A6A"/>
    <w:multiLevelType w:val="multilevel"/>
    <w:tmpl w:val="0086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8339E"/>
    <w:multiLevelType w:val="hybridMultilevel"/>
    <w:tmpl w:val="C42E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7A"/>
    <w:rsid w:val="000050DB"/>
    <w:rsid w:val="000070A8"/>
    <w:rsid w:val="00016026"/>
    <w:rsid w:val="00016453"/>
    <w:rsid w:val="00022EE4"/>
    <w:rsid w:val="00024608"/>
    <w:rsid w:val="000408CE"/>
    <w:rsid w:val="00041649"/>
    <w:rsid w:val="00045778"/>
    <w:rsid w:val="00061031"/>
    <w:rsid w:val="00074F0B"/>
    <w:rsid w:val="00075F71"/>
    <w:rsid w:val="00090DA4"/>
    <w:rsid w:val="00091EB4"/>
    <w:rsid w:val="00092DA5"/>
    <w:rsid w:val="000949D4"/>
    <w:rsid w:val="0009550A"/>
    <w:rsid w:val="000A38BB"/>
    <w:rsid w:val="000B3BD8"/>
    <w:rsid w:val="000D20B7"/>
    <w:rsid w:val="000E3F23"/>
    <w:rsid w:val="000E485A"/>
    <w:rsid w:val="000E4AC3"/>
    <w:rsid w:val="0010564C"/>
    <w:rsid w:val="00116BBA"/>
    <w:rsid w:val="00121F07"/>
    <w:rsid w:val="00130A77"/>
    <w:rsid w:val="00133658"/>
    <w:rsid w:val="00135497"/>
    <w:rsid w:val="001356BF"/>
    <w:rsid w:val="00145385"/>
    <w:rsid w:val="00150172"/>
    <w:rsid w:val="00154D48"/>
    <w:rsid w:val="00163153"/>
    <w:rsid w:val="00166A51"/>
    <w:rsid w:val="00171CA0"/>
    <w:rsid w:val="0017437B"/>
    <w:rsid w:val="00174AD4"/>
    <w:rsid w:val="001750DA"/>
    <w:rsid w:val="001A768F"/>
    <w:rsid w:val="001B2D1D"/>
    <w:rsid w:val="001D0189"/>
    <w:rsid w:val="001D0450"/>
    <w:rsid w:val="001D1E6B"/>
    <w:rsid w:val="001D2B80"/>
    <w:rsid w:val="001D2CD0"/>
    <w:rsid w:val="001F045C"/>
    <w:rsid w:val="001F1C1E"/>
    <w:rsid w:val="001F2371"/>
    <w:rsid w:val="001F61F2"/>
    <w:rsid w:val="001F6685"/>
    <w:rsid w:val="001F6AA5"/>
    <w:rsid w:val="002158A9"/>
    <w:rsid w:val="002442D7"/>
    <w:rsid w:val="00247643"/>
    <w:rsid w:val="0025070E"/>
    <w:rsid w:val="00255CD2"/>
    <w:rsid w:val="00284F0E"/>
    <w:rsid w:val="002B1D94"/>
    <w:rsid w:val="002C0EEE"/>
    <w:rsid w:val="002D0B43"/>
    <w:rsid w:val="002D3AEE"/>
    <w:rsid w:val="002F1F2F"/>
    <w:rsid w:val="002F3D51"/>
    <w:rsid w:val="002F426C"/>
    <w:rsid w:val="00304DE4"/>
    <w:rsid w:val="00305511"/>
    <w:rsid w:val="003108FC"/>
    <w:rsid w:val="0032437E"/>
    <w:rsid w:val="0033477B"/>
    <w:rsid w:val="00346585"/>
    <w:rsid w:val="00350477"/>
    <w:rsid w:val="00361230"/>
    <w:rsid w:val="0036676A"/>
    <w:rsid w:val="003676A2"/>
    <w:rsid w:val="00373ABE"/>
    <w:rsid w:val="003741B2"/>
    <w:rsid w:val="003824AC"/>
    <w:rsid w:val="00387741"/>
    <w:rsid w:val="003A63C1"/>
    <w:rsid w:val="003C03D7"/>
    <w:rsid w:val="003C2C2B"/>
    <w:rsid w:val="003C7F12"/>
    <w:rsid w:val="003D2457"/>
    <w:rsid w:val="003D51E6"/>
    <w:rsid w:val="003E3D02"/>
    <w:rsid w:val="003F233F"/>
    <w:rsid w:val="003F564F"/>
    <w:rsid w:val="003F637A"/>
    <w:rsid w:val="004001DE"/>
    <w:rsid w:val="00404C45"/>
    <w:rsid w:val="004059E7"/>
    <w:rsid w:val="004129CF"/>
    <w:rsid w:val="00415501"/>
    <w:rsid w:val="00417E8F"/>
    <w:rsid w:val="004210CD"/>
    <w:rsid w:val="00433808"/>
    <w:rsid w:val="0043546E"/>
    <w:rsid w:val="004518D3"/>
    <w:rsid w:val="00453198"/>
    <w:rsid w:val="004638AF"/>
    <w:rsid w:val="0047633D"/>
    <w:rsid w:val="004A15B3"/>
    <w:rsid w:val="004B4D59"/>
    <w:rsid w:val="004B6D0E"/>
    <w:rsid w:val="004B7CBF"/>
    <w:rsid w:val="004C0231"/>
    <w:rsid w:val="004C0904"/>
    <w:rsid w:val="004D35D1"/>
    <w:rsid w:val="004E0C3E"/>
    <w:rsid w:val="00512151"/>
    <w:rsid w:val="00517DAE"/>
    <w:rsid w:val="00520D6E"/>
    <w:rsid w:val="005263B0"/>
    <w:rsid w:val="00535568"/>
    <w:rsid w:val="00544FB1"/>
    <w:rsid w:val="0054531F"/>
    <w:rsid w:val="005533B2"/>
    <w:rsid w:val="00574CE4"/>
    <w:rsid w:val="00577C4D"/>
    <w:rsid w:val="00581862"/>
    <w:rsid w:val="005850F5"/>
    <w:rsid w:val="005874FD"/>
    <w:rsid w:val="005A134B"/>
    <w:rsid w:val="005A4E6F"/>
    <w:rsid w:val="005B16B4"/>
    <w:rsid w:val="005B362C"/>
    <w:rsid w:val="005C0A69"/>
    <w:rsid w:val="005E5A90"/>
    <w:rsid w:val="0060509C"/>
    <w:rsid w:val="0062085B"/>
    <w:rsid w:val="00624777"/>
    <w:rsid w:val="0063022C"/>
    <w:rsid w:val="00640798"/>
    <w:rsid w:val="0066213C"/>
    <w:rsid w:val="00664FCF"/>
    <w:rsid w:val="00671BAF"/>
    <w:rsid w:val="00687780"/>
    <w:rsid w:val="006A7DBE"/>
    <w:rsid w:val="006B0F1F"/>
    <w:rsid w:val="006B7E85"/>
    <w:rsid w:val="006C1610"/>
    <w:rsid w:val="006C1E35"/>
    <w:rsid w:val="006C57BB"/>
    <w:rsid w:val="006C6CB2"/>
    <w:rsid w:val="006D2456"/>
    <w:rsid w:val="006E36FE"/>
    <w:rsid w:val="0070726C"/>
    <w:rsid w:val="0070789C"/>
    <w:rsid w:val="00721626"/>
    <w:rsid w:val="0072738C"/>
    <w:rsid w:val="00740BDB"/>
    <w:rsid w:val="00762C68"/>
    <w:rsid w:val="0078461D"/>
    <w:rsid w:val="007926D2"/>
    <w:rsid w:val="007A1E40"/>
    <w:rsid w:val="007A37CC"/>
    <w:rsid w:val="007A43D5"/>
    <w:rsid w:val="007B421D"/>
    <w:rsid w:val="007C3BAF"/>
    <w:rsid w:val="007C541A"/>
    <w:rsid w:val="007D3354"/>
    <w:rsid w:val="007D49F6"/>
    <w:rsid w:val="007D601D"/>
    <w:rsid w:val="007D7E29"/>
    <w:rsid w:val="007E2280"/>
    <w:rsid w:val="007E528E"/>
    <w:rsid w:val="007E5E9A"/>
    <w:rsid w:val="00804165"/>
    <w:rsid w:val="00804692"/>
    <w:rsid w:val="00812601"/>
    <w:rsid w:val="00817516"/>
    <w:rsid w:val="00833E1D"/>
    <w:rsid w:val="00855086"/>
    <w:rsid w:val="00856EA9"/>
    <w:rsid w:val="0087347A"/>
    <w:rsid w:val="00874B04"/>
    <w:rsid w:val="00877663"/>
    <w:rsid w:val="0089096D"/>
    <w:rsid w:val="008A05FA"/>
    <w:rsid w:val="008A2B51"/>
    <w:rsid w:val="008A58B3"/>
    <w:rsid w:val="008C0A1B"/>
    <w:rsid w:val="008E1DB1"/>
    <w:rsid w:val="008E4862"/>
    <w:rsid w:val="008E6A17"/>
    <w:rsid w:val="008F7380"/>
    <w:rsid w:val="00905724"/>
    <w:rsid w:val="00913B1E"/>
    <w:rsid w:val="00932553"/>
    <w:rsid w:val="009375B8"/>
    <w:rsid w:val="00951B99"/>
    <w:rsid w:val="00973257"/>
    <w:rsid w:val="00981793"/>
    <w:rsid w:val="009877C4"/>
    <w:rsid w:val="009909A9"/>
    <w:rsid w:val="0099783F"/>
    <w:rsid w:val="009A4F0D"/>
    <w:rsid w:val="009A5A5A"/>
    <w:rsid w:val="009A63A5"/>
    <w:rsid w:val="009D0482"/>
    <w:rsid w:val="009D5C44"/>
    <w:rsid w:val="009D645D"/>
    <w:rsid w:val="009F34FA"/>
    <w:rsid w:val="009F35FF"/>
    <w:rsid w:val="00A07D61"/>
    <w:rsid w:val="00A105BB"/>
    <w:rsid w:val="00A16E46"/>
    <w:rsid w:val="00A17757"/>
    <w:rsid w:val="00A20A44"/>
    <w:rsid w:val="00A2503F"/>
    <w:rsid w:val="00A3090D"/>
    <w:rsid w:val="00A30D1E"/>
    <w:rsid w:val="00A35338"/>
    <w:rsid w:val="00A4305A"/>
    <w:rsid w:val="00A4666D"/>
    <w:rsid w:val="00A47BA0"/>
    <w:rsid w:val="00A51AFC"/>
    <w:rsid w:val="00A612C5"/>
    <w:rsid w:val="00A7274A"/>
    <w:rsid w:val="00A8258C"/>
    <w:rsid w:val="00A93096"/>
    <w:rsid w:val="00A9437D"/>
    <w:rsid w:val="00AA74F7"/>
    <w:rsid w:val="00AC47A6"/>
    <w:rsid w:val="00AC4ABE"/>
    <w:rsid w:val="00AD4DE3"/>
    <w:rsid w:val="00AF081E"/>
    <w:rsid w:val="00AF0B65"/>
    <w:rsid w:val="00AF334A"/>
    <w:rsid w:val="00AF452A"/>
    <w:rsid w:val="00B03D8F"/>
    <w:rsid w:val="00B2005E"/>
    <w:rsid w:val="00B25916"/>
    <w:rsid w:val="00B25B99"/>
    <w:rsid w:val="00B31AE5"/>
    <w:rsid w:val="00B459CA"/>
    <w:rsid w:val="00B46E68"/>
    <w:rsid w:val="00B5194D"/>
    <w:rsid w:val="00B5324D"/>
    <w:rsid w:val="00B5390E"/>
    <w:rsid w:val="00B57275"/>
    <w:rsid w:val="00B60743"/>
    <w:rsid w:val="00B74791"/>
    <w:rsid w:val="00B847DE"/>
    <w:rsid w:val="00BA093D"/>
    <w:rsid w:val="00BB147F"/>
    <w:rsid w:val="00BB4A38"/>
    <w:rsid w:val="00BB6332"/>
    <w:rsid w:val="00BC7258"/>
    <w:rsid w:val="00BD0998"/>
    <w:rsid w:val="00BD4A34"/>
    <w:rsid w:val="00BE08BA"/>
    <w:rsid w:val="00BE274C"/>
    <w:rsid w:val="00BF4DAA"/>
    <w:rsid w:val="00BF52B6"/>
    <w:rsid w:val="00C02048"/>
    <w:rsid w:val="00C073D7"/>
    <w:rsid w:val="00C07792"/>
    <w:rsid w:val="00C17D41"/>
    <w:rsid w:val="00C21503"/>
    <w:rsid w:val="00C25B11"/>
    <w:rsid w:val="00C31E4B"/>
    <w:rsid w:val="00C44F4E"/>
    <w:rsid w:val="00C55D4B"/>
    <w:rsid w:val="00C71A48"/>
    <w:rsid w:val="00C72B27"/>
    <w:rsid w:val="00C87A2F"/>
    <w:rsid w:val="00C94A8A"/>
    <w:rsid w:val="00CB08A4"/>
    <w:rsid w:val="00CC246F"/>
    <w:rsid w:val="00CC6EE4"/>
    <w:rsid w:val="00CD0B44"/>
    <w:rsid w:val="00CD5B7F"/>
    <w:rsid w:val="00CD7CB2"/>
    <w:rsid w:val="00CE425F"/>
    <w:rsid w:val="00D06574"/>
    <w:rsid w:val="00D117CF"/>
    <w:rsid w:val="00D128E6"/>
    <w:rsid w:val="00D23942"/>
    <w:rsid w:val="00D2570F"/>
    <w:rsid w:val="00D25C50"/>
    <w:rsid w:val="00D60AE8"/>
    <w:rsid w:val="00D630AC"/>
    <w:rsid w:val="00D6332E"/>
    <w:rsid w:val="00D74179"/>
    <w:rsid w:val="00D80512"/>
    <w:rsid w:val="00D80CF4"/>
    <w:rsid w:val="00D85156"/>
    <w:rsid w:val="00D94EA2"/>
    <w:rsid w:val="00DA7601"/>
    <w:rsid w:val="00DA76B2"/>
    <w:rsid w:val="00DA7911"/>
    <w:rsid w:val="00DA7E8A"/>
    <w:rsid w:val="00DB00B2"/>
    <w:rsid w:val="00DB6AA2"/>
    <w:rsid w:val="00DD56B5"/>
    <w:rsid w:val="00E02B34"/>
    <w:rsid w:val="00E1243C"/>
    <w:rsid w:val="00E17AC7"/>
    <w:rsid w:val="00E201D8"/>
    <w:rsid w:val="00E21AF4"/>
    <w:rsid w:val="00E417E8"/>
    <w:rsid w:val="00E46536"/>
    <w:rsid w:val="00E50241"/>
    <w:rsid w:val="00E50994"/>
    <w:rsid w:val="00E5427E"/>
    <w:rsid w:val="00E621FD"/>
    <w:rsid w:val="00E6336F"/>
    <w:rsid w:val="00E63615"/>
    <w:rsid w:val="00EA01E5"/>
    <w:rsid w:val="00EA0C93"/>
    <w:rsid w:val="00EA6227"/>
    <w:rsid w:val="00EC6A88"/>
    <w:rsid w:val="00ED115E"/>
    <w:rsid w:val="00ED1C98"/>
    <w:rsid w:val="00EE6B5F"/>
    <w:rsid w:val="00F11852"/>
    <w:rsid w:val="00F1636E"/>
    <w:rsid w:val="00F24C3B"/>
    <w:rsid w:val="00F3359D"/>
    <w:rsid w:val="00F37E15"/>
    <w:rsid w:val="00F4595F"/>
    <w:rsid w:val="00F521B1"/>
    <w:rsid w:val="00F62479"/>
    <w:rsid w:val="00F67171"/>
    <w:rsid w:val="00F71C01"/>
    <w:rsid w:val="00F7591E"/>
    <w:rsid w:val="00F81A19"/>
    <w:rsid w:val="00FA1864"/>
    <w:rsid w:val="00FA292D"/>
    <w:rsid w:val="00FB2450"/>
    <w:rsid w:val="00FB44CB"/>
    <w:rsid w:val="00FC3C4C"/>
    <w:rsid w:val="00FC637F"/>
    <w:rsid w:val="00FE1AAE"/>
    <w:rsid w:val="00FE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40CA"/>
  <w15:docId w15:val="{63225838-8B84-47F1-9CFD-61A6BB46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4AC"/>
    <w:pPr>
      <w:keepNext/>
      <w:ind w:firstLine="70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Стиль1"/>
    <w:basedOn w:val="a"/>
    <w:rsid w:val="003824AC"/>
    <w:pPr>
      <w:widowControl/>
      <w:autoSpaceDE/>
      <w:autoSpaceDN/>
      <w:adjustRightInd/>
      <w:spacing w:line="288" w:lineRule="auto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94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D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D49F6"/>
    <w:rPr>
      <w:color w:val="0000FF"/>
      <w:u w:val="single"/>
    </w:rPr>
  </w:style>
  <w:style w:type="paragraph" w:styleId="a6">
    <w:name w:val="Normal (Web)"/>
    <w:basedOn w:val="a"/>
    <w:unhideWhenUsed/>
    <w:rsid w:val="007D49F6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customStyle="1" w:styleId="Standard">
    <w:name w:val="Standard"/>
    <w:rsid w:val="00AF4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mailrucssattributepostfix">
    <w:name w:val="msonormal_mailru_css_attribute_postfix"/>
    <w:basedOn w:val="a"/>
    <w:rsid w:val="003C03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045778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lang w:val="en-US" w:eastAsia="en-US"/>
    </w:rPr>
  </w:style>
  <w:style w:type="character" w:customStyle="1" w:styleId="a7">
    <w:name w:val="Выделение жирным"/>
    <w:qFormat/>
    <w:rsid w:val="00EE6B5F"/>
    <w:rPr>
      <w:b/>
      <w:bCs/>
    </w:rPr>
  </w:style>
  <w:style w:type="character" w:customStyle="1" w:styleId="itemtext1">
    <w:name w:val="itemtext1"/>
    <w:basedOn w:val="a0"/>
    <w:qFormat/>
    <w:rsid w:val="00EE6B5F"/>
    <w:rPr>
      <w:rFonts w:ascii="Segoe UI" w:hAnsi="Segoe UI" w:cs="Segoe UI"/>
      <w:color w:val="000000"/>
      <w:sz w:val="20"/>
      <w:szCs w:val="20"/>
    </w:rPr>
  </w:style>
  <w:style w:type="character" w:customStyle="1" w:styleId="2">
    <w:name w:val="Основной шрифт абзаца2"/>
    <w:qFormat/>
    <w:rsid w:val="00EE6B5F"/>
    <w:rPr>
      <w:sz w:val="24"/>
    </w:rPr>
  </w:style>
  <w:style w:type="paragraph" w:styleId="a8">
    <w:name w:val="Body Text"/>
    <w:basedOn w:val="a"/>
    <w:link w:val="a9"/>
    <w:rsid w:val="00EE6B5F"/>
    <w:pPr>
      <w:suppressAutoHyphens/>
      <w:overflowPunct w:val="0"/>
      <w:autoSpaceDE/>
      <w:autoSpaceDN/>
      <w:adjustRightInd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customStyle="1" w:styleId="a9">
    <w:name w:val="Основной текст Знак"/>
    <w:basedOn w:val="a0"/>
    <w:link w:val="a8"/>
    <w:rsid w:val="00EE6B5F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a">
    <w:name w:val="Body Text Indent"/>
    <w:basedOn w:val="a"/>
    <w:link w:val="ab"/>
    <w:qFormat/>
    <w:rsid w:val="00EE6B5F"/>
    <w:pPr>
      <w:suppressAutoHyphens/>
      <w:overflowPunct w:val="0"/>
      <w:autoSpaceDE/>
      <w:autoSpaceDN/>
      <w:adjustRightInd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customStyle="1" w:styleId="ab">
    <w:name w:val="Основной текст с отступом Знак"/>
    <w:basedOn w:val="a0"/>
    <w:link w:val="aa"/>
    <w:rsid w:val="00EE6B5F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c">
    <w:name w:val="List Paragraph"/>
    <w:basedOn w:val="a"/>
    <w:qFormat/>
    <w:rsid w:val="004A15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mezonename">
    <w:name w:val="timezonename"/>
    <w:rsid w:val="004A15B3"/>
  </w:style>
  <w:style w:type="paragraph" w:customStyle="1" w:styleId="p2">
    <w:name w:val="p2"/>
    <w:basedOn w:val="a"/>
    <w:rsid w:val="00671BAF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a"/>
    <w:rsid w:val="00671BAF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a0"/>
    <w:rsid w:val="00671BAF"/>
  </w:style>
  <w:style w:type="character" w:customStyle="1" w:styleId="s2">
    <w:name w:val="s2"/>
    <w:basedOn w:val="a0"/>
    <w:rsid w:val="00671BAF"/>
  </w:style>
  <w:style w:type="character" w:styleId="ad">
    <w:name w:val="Emphasis"/>
    <w:basedOn w:val="a0"/>
    <w:uiPriority w:val="20"/>
    <w:qFormat/>
    <w:rsid w:val="00E542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Тимербулатов Тимур Ильгизович</dc:creator>
  <cp:lastModifiedBy>Сагитова Алия Ильгизовна</cp:lastModifiedBy>
  <cp:revision>20</cp:revision>
  <cp:lastPrinted>2022-06-03T06:24:00Z</cp:lastPrinted>
  <dcterms:created xsi:type="dcterms:W3CDTF">2022-11-21T11:30:00Z</dcterms:created>
  <dcterms:modified xsi:type="dcterms:W3CDTF">2025-04-16T14:16:00Z</dcterms:modified>
</cp:coreProperties>
</file>