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numbering.xml" ContentType="application/vnd.openxmlformats-officedocument.wordprocessingml.numbering+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pPr>
      <w:r>
        <w:rPr/>
      </w:r>
    </w:p>
    <w:tbl>
      <w:tblPr>
        <w:tblW w:w="5000" w:type="pct"/>
        <w:jc w:val="left"/>
        <w:tblInd w:w="55" w:type="dxa"/>
        <w:tblLayout w:type="fixed"/>
        <w:tblCellMar>
          <w:top w:w="55" w:type="dxa"/>
          <w:left w:w="55" w:type="dxa"/>
          <w:bottom w:w="55" w:type="dxa"/>
          <w:right w:w="55" w:type="dxa"/>
        </w:tblCellMar>
      </w:tblPr>
      <w:tblGrid>
        <w:gridCol w:w="5790"/>
        <w:gridCol w:w="4131"/>
      </w:tblGrid>
      <w:tr>
        <w:trPr/>
        <w:tc>
          <w:tcPr>
            <w:tcW w:w="5790" w:type="dxa"/>
            <w:tcBorders/>
          </w:tcPr>
          <w:p>
            <w:pPr>
              <w:pStyle w:val="Style44"/>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4131" w:type="dxa"/>
            <w:tcBorders/>
          </w:tcPr>
          <w:p>
            <w:pPr>
              <w:pStyle w:val="Normal"/>
              <w:widowControl w:val="false"/>
              <w:suppressAutoHyphens w:val="true"/>
              <w:bidi w:val="0"/>
              <w:spacing w:before="0" w:after="0"/>
              <w:ind w:left="0" w:right="340" w:hanging="0"/>
              <w:jc w:val="left"/>
              <w:rPr>
                <w:sz w:val="24"/>
                <w:szCs w:val="24"/>
              </w:rPr>
            </w:pPr>
            <w:r>
              <w:rPr>
                <w:rFonts w:ascii="Liberation Serif" w:hAnsi="Liberation Serif"/>
                <w:b w:val="false"/>
                <w:bCs w:val="false"/>
                <w:i w:val="false"/>
                <w:iCs w:val="false"/>
                <w:strike w:val="false"/>
                <w:dstrike w:val="false"/>
                <w:outline w:val="false"/>
                <w:shadow w:val="false"/>
                <w:color w:val="000000"/>
                <w:sz w:val="24"/>
                <w:szCs w:val="24"/>
                <w:u w:val="none"/>
              </w:rPr>
              <w:t>УТВЕРЖДАЮ</w:t>
            </w:r>
          </w:p>
          <w:p>
            <w:pPr>
              <w:pStyle w:val="Normal"/>
              <w:widowControl w:val="false"/>
              <w:suppressAutoHyphens w:val="true"/>
              <w:bidi w:val="0"/>
              <w:spacing w:before="0" w:after="0"/>
              <w:ind w:left="1361" w:right="1531" w:hanging="0"/>
              <w:jc w:val="left"/>
              <w:rPr>
                <w:sz w:val="24"/>
                <w:szCs w:val="24"/>
              </w:rPr>
            </w:pPr>
            <w:r>
              <w:rPr>
                <w:sz w:val="24"/>
                <w:szCs w:val="24"/>
              </w:rPr>
            </w:r>
          </w:p>
          <w:p>
            <w:pPr>
              <w:pStyle w:val="Normal"/>
              <w:widowControl w:val="false"/>
              <w:suppressAutoHyphens w:val="true"/>
              <w:bidi w:val="0"/>
              <w:spacing w:before="0" w:after="0"/>
              <w:ind w:left="0" w:right="1871" w:hanging="0"/>
              <w:jc w:val="left"/>
              <w:rPr>
                <w:sz w:val="24"/>
                <w:szCs w:val="24"/>
              </w:rPr>
            </w:pPr>
            <w:r>
              <w:rPr>
                <w:rFonts w:ascii="Liberation Serif" w:hAnsi="Liberation Serif"/>
                <w:b w:val="false"/>
                <w:bCs w:val="false"/>
                <w:i w:val="false"/>
                <w:iCs w:val="false"/>
                <w:strike w:val="false"/>
                <w:dstrike w:val="false"/>
                <w:outline w:val="false"/>
                <w:shadow w:val="false"/>
                <w:color w:val="000000"/>
                <w:sz w:val="24"/>
                <w:szCs w:val="24"/>
                <w:u w:val="none"/>
              </w:rPr>
              <w:t>Директор</w:t>
            </w:r>
          </w:p>
          <w:p>
            <w:pPr>
              <w:pStyle w:val="Normal"/>
              <w:widowControl w:val="false"/>
              <w:suppressAutoHyphens w:val="true"/>
              <w:bidi w:val="0"/>
              <w:spacing w:before="0" w:after="0"/>
              <w:ind w:left="0" w:right="-57" w:hanging="0"/>
              <w:jc w:val="left"/>
              <w:rPr>
                <w:sz w:val="24"/>
                <w:szCs w:val="24"/>
              </w:rPr>
            </w:pPr>
            <w:r>
              <w:rPr>
                <w:rFonts w:ascii="Liberation Serif" w:hAnsi="Liberation Serif"/>
                <w:b w:val="false"/>
                <w:bCs w:val="false"/>
                <w:i w:val="false"/>
                <w:iCs w:val="false"/>
                <w:strike w:val="false"/>
                <w:dstrike w:val="false"/>
                <w:outline w:val="false"/>
                <w:shadow w:val="false"/>
                <w:color w:val="000000"/>
                <w:sz w:val="24"/>
                <w:szCs w:val="24"/>
                <w:u w:val="none"/>
              </w:rPr>
              <w:t>Государственного автономного учреждения</w:t>
            </w:r>
          </w:p>
          <w:p>
            <w:pPr>
              <w:pStyle w:val="Normal"/>
              <w:widowControl w:val="false"/>
              <w:suppressAutoHyphens w:val="true"/>
              <w:bidi w:val="0"/>
              <w:spacing w:before="0" w:after="0"/>
              <w:ind w:left="0" w:right="170" w:hanging="0"/>
              <w:jc w:val="left"/>
              <w:rPr>
                <w:sz w:val="24"/>
                <w:szCs w:val="24"/>
              </w:rPr>
            </w:pPr>
            <w:r>
              <w:rPr>
                <w:rFonts w:ascii="Liberation Serif" w:hAnsi="Liberation Serif"/>
                <w:b w:val="false"/>
                <w:bCs w:val="false"/>
                <w:i w:val="false"/>
                <w:iCs w:val="false"/>
                <w:strike w:val="false"/>
                <w:dstrike w:val="false"/>
                <w:outline w:val="false"/>
                <w:shadow w:val="false"/>
                <w:color w:val="000000"/>
                <w:sz w:val="24"/>
                <w:szCs w:val="24"/>
                <w:u w:val="none"/>
              </w:rPr>
              <w:t>Республики Татарстан</w:t>
            </w:r>
          </w:p>
          <w:p>
            <w:pPr>
              <w:pStyle w:val="Normal"/>
              <w:widowControl w:val="false"/>
              <w:suppressAutoHyphens w:val="true"/>
              <w:bidi w:val="0"/>
              <w:spacing w:before="0" w:after="0"/>
              <w:ind w:left="0" w:right="57" w:hanging="0"/>
              <w:jc w:val="left"/>
              <w:rPr>
                <w:sz w:val="24"/>
                <w:szCs w:val="24"/>
              </w:rPr>
            </w:pPr>
            <w:r>
              <w:rPr>
                <w:rFonts w:ascii="Liberation Serif" w:hAnsi="Liberation Serif"/>
                <w:b w:val="false"/>
                <w:bCs w:val="false"/>
                <w:i w:val="false"/>
                <w:iCs w:val="false"/>
                <w:strike w:val="false"/>
                <w:dstrike w:val="false"/>
                <w:outline w:val="false"/>
                <w:shadow w:val="false"/>
                <w:color w:val="000000"/>
                <w:sz w:val="24"/>
                <w:szCs w:val="24"/>
                <w:u w:val="none"/>
              </w:rPr>
              <w:t>«Диспетчерский центр Министерства здравоохранения Республики Татарстан»</w:t>
            </w:r>
          </w:p>
          <w:p>
            <w:pPr>
              <w:pStyle w:val="Normal"/>
              <w:widowControl w:val="false"/>
              <w:suppressAutoHyphens w:val="true"/>
              <w:bidi w:val="0"/>
              <w:spacing w:before="0" w:after="0"/>
              <w:ind w:left="1361" w:right="57" w:hanging="0"/>
              <w:jc w:val="left"/>
              <w:rPr>
                <w:color w:val="000000"/>
                <w:sz w:val="24"/>
                <w:szCs w:val="24"/>
              </w:rPr>
            </w:pPr>
            <w:r>
              <w:rPr>
                <w:color w:val="000000"/>
                <w:sz w:val="24"/>
                <w:szCs w:val="24"/>
              </w:rPr>
            </w:r>
          </w:p>
          <w:p>
            <w:pPr>
              <w:pStyle w:val="Normal"/>
              <w:widowControl w:val="false"/>
              <w:suppressAutoHyphens w:val="true"/>
              <w:bidi w:val="0"/>
              <w:spacing w:before="0" w:after="0"/>
              <w:ind w:left="0" w:right="0" w:hanging="0"/>
              <w:jc w:val="left"/>
              <w:rPr>
                <w:sz w:val="24"/>
                <w:szCs w:val="24"/>
              </w:rPr>
            </w:pPr>
            <w:r>
              <w:rPr>
                <w:rFonts w:ascii="Liberation Serif" w:hAnsi="Liberation Serif"/>
                <w:b w:val="false"/>
                <w:bCs w:val="false"/>
                <w:i w:val="false"/>
                <w:iCs w:val="false"/>
                <w:strike w:val="false"/>
                <w:dstrike w:val="false"/>
                <w:outline w:val="false"/>
                <w:shadow w:val="false"/>
                <w:color w:val="000000"/>
                <w:sz w:val="24"/>
                <w:szCs w:val="24"/>
                <w:u w:val="none"/>
              </w:rPr>
              <w:t>_________________И.Г.Фоничкина /</w:t>
            </w:r>
          </w:p>
          <w:p>
            <w:pPr>
              <w:pStyle w:val="Normal"/>
              <w:widowControl w:val="false"/>
              <w:ind w:left="0" w:right="0" w:hanging="0"/>
              <w:jc w:val="left"/>
              <w:rPr>
                <w:b/>
              </w:rPr>
            </w:pPr>
            <w:r>
              <w:rPr>
                <w:b/>
              </w:rPr>
            </w:r>
          </w:p>
        </w:tc>
      </w:tr>
    </w:tbl>
    <w:p>
      <w:pPr>
        <w:pStyle w:val="Normal"/>
        <w:widowControl w:val="false"/>
        <w:suppressAutoHyphens w:val="true"/>
        <w:bidi w:val="0"/>
        <w:spacing w:before="0" w:after="0"/>
        <w:ind w:left="2268" w:right="340" w:hanging="0"/>
        <w:jc w:val="both"/>
        <w:rPr>
          <w:sz w:val="24"/>
          <w:szCs w:val="24"/>
        </w:rPr>
      </w:pPr>
      <w:r>
        <w:rPr>
          <w:sz w:val="24"/>
          <w:szCs w:val="24"/>
        </w:rPr>
      </w:r>
    </w:p>
    <w:p>
      <w:pPr>
        <w:pStyle w:val="Normal"/>
        <w:widowControl w:val="false"/>
        <w:suppressAutoHyphens w:val="true"/>
        <w:bidi w:val="0"/>
        <w:spacing w:before="0" w:after="0"/>
        <w:ind w:left="2268" w:right="340" w:hanging="0"/>
        <w:jc w:val="both"/>
        <w:rPr>
          <w:sz w:val="24"/>
          <w:szCs w:val="24"/>
        </w:rPr>
      </w:pPr>
      <w:r>
        <w:rPr>
          <w:sz w:val="24"/>
          <w:szCs w:val="24"/>
        </w:rPr>
      </w:r>
    </w:p>
    <w:p>
      <w:pPr>
        <w:pStyle w:val="Normal"/>
        <w:widowControl w:val="false"/>
        <w:suppressAutoHyphens w:val="true"/>
        <w:bidi w:val="0"/>
        <w:spacing w:before="0" w:after="0"/>
        <w:ind w:left="2268" w:right="340" w:hanging="0"/>
        <w:jc w:val="both"/>
        <w:rPr>
          <w:sz w:val="24"/>
          <w:szCs w:val="24"/>
        </w:rPr>
      </w:pPr>
      <w:r>
        <w:rPr>
          <w:sz w:val="24"/>
          <w:szCs w:val="24"/>
        </w:rPr>
      </w:r>
    </w:p>
    <w:p>
      <w:pPr>
        <w:pStyle w:val="Normal"/>
        <w:widowControl w:val="false"/>
        <w:suppressAutoHyphens w:val="true"/>
        <w:bidi w:val="0"/>
        <w:spacing w:before="0" w:after="0"/>
        <w:ind w:left="2268" w:right="340" w:hanging="0"/>
        <w:jc w:val="both"/>
        <w:rPr>
          <w:sz w:val="24"/>
          <w:szCs w:val="24"/>
        </w:rPr>
      </w:pPr>
      <w:r>
        <w:rPr>
          <w:sz w:val="24"/>
          <w:szCs w:val="24"/>
        </w:rPr>
      </w:r>
    </w:p>
    <w:p>
      <w:pPr>
        <w:pStyle w:val="Normal"/>
        <w:widowControl w:val="false"/>
        <w:suppressAutoHyphens w:val="true"/>
        <w:bidi w:val="0"/>
        <w:spacing w:before="0" w:after="0"/>
        <w:ind w:left="2268" w:right="340" w:hanging="0"/>
        <w:jc w:val="both"/>
        <w:rPr>
          <w:sz w:val="24"/>
          <w:szCs w:val="24"/>
        </w:rPr>
      </w:pPr>
      <w:r>
        <w:rPr>
          <w:sz w:val="24"/>
          <w:szCs w:val="24"/>
        </w:rPr>
      </w:r>
    </w:p>
    <w:p>
      <w:pPr>
        <w:pStyle w:val="Normal"/>
        <w:widowControl w:val="false"/>
        <w:suppressAutoHyphens w:val="true"/>
        <w:bidi w:val="0"/>
        <w:spacing w:before="0" w:after="0"/>
        <w:ind w:left="2268" w:right="340" w:hanging="0"/>
        <w:jc w:val="both"/>
        <w:rPr>
          <w:sz w:val="24"/>
          <w:szCs w:val="24"/>
        </w:rPr>
      </w:pPr>
      <w:r>
        <w:rPr>
          <w:sz w:val="24"/>
          <w:szCs w:val="24"/>
        </w:rPr>
      </w:r>
    </w:p>
    <w:p>
      <w:pPr>
        <w:pStyle w:val="Normal"/>
        <w:widowControl w:val="false"/>
        <w:suppressAutoHyphens w:val="true"/>
        <w:bidi w:val="0"/>
        <w:spacing w:before="0" w:after="0"/>
        <w:ind w:left="2268" w:right="340" w:hanging="0"/>
        <w:jc w:val="both"/>
        <w:rPr>
          <w:sz w:val="24"/>
          <w:szCs w:val="24"/>
        </w:rPr>
      </w:pPr>
      <w:r>
        <w:rPr>
          <w:sz w:val="24"/>
          <w:szCs w:val="24"/>
        </w:rPr>
      </w:r>
    </w:p>
    <w:p>
      <w:pPr>
        <w:pStyle w:val="Normal"/>
        <w:widowControl w:val="false"/>
        <w:suppressAutoHyphens w:val="true"/>
        <w:bidi w:val="0"/>
        <w:spacing w:before="0" w:after="0"/>
        <w:ind w:left="2268" w:right="340" w:hanging="0"/>
        <w:jc w:val="both"/>
        <w:rPr>
          <w:sz w:val="24"/>
          <w:szCs w:val="24"/>
        </w:rPr>
      </w:pPr>
      <w:r>
        <w:rPr>
          <w:sz w:val="24"/>
          <w:szCs w:val="24"/>
        </w:rPr>
      </w:r>
    </w:p>
    <w:p>
      <w:pPr>
        <w:pStyle w:val="Normal"/>
        <w:widowControl w:val="false"/>
        <w:suppressAutoHyphens w:val="true"/>
        <w:bidi w:val="0"/>
        <w:spacing w:before="0" w:after="0"/>
        <w:ind w:left="2268" w:right="340" w:hanging="0"/>
        <w:jc w:val="both"/>
        <w:rPr>
          <w:sz w:val="24"/>
          <w:szCs w:val="24"/>
        </w:rPr>
      </w:pPr>
      <w:r>
        <w:rPr>
          <w:sz w:val="24"/>
          <w:szCs w:val="24"/>
        </w:rPr>
      </w:r>
    </w:p>
    <w:p>
      <w:pPr>
        <w:pStyle w:val="Normal"/>
        <w:widowControl w:val="false"/>
        <w:suppressAutoHyphens w:val="true"/>
        <w:bidi w:val="0"/>
        <w:spacing w:before="0" w:after="0"/>
        <w:ind w:left="2268" w:right="340" w:hanging="0"/>
        <w:jc w:val="both"/>
        <w:rPr>
          <w:sz w:val="24"/>
          <w:szCs w:val="24"/>
        </w:rPr>
      </w:pPr>
      <w:r>
        <w:rPr>
          <w:sz w:val="24"/>
          <w:szCs w:val="24"/>
        </w:rPr>
      </w:r>
    </w:p>
    <w:p>
      <w:pPr>
        <w:pStyle w:val="Normal"/>
        <w:widowControl w:val="false"/>
        <w:suppressAutoHyphens w:val="true"/>
        <w:bidi w:val="0"/>
        <w:spacing w:before="0" w:after="0"/>
        <w:ind w:left="2268" w:right="340" w:hanging="0"/>
        <w:jc w:val="both"/>
        <w:rPr>
          <w:sz w:val="24"/>
          <w:szCs w:val="24"/>
        </w:rPr>
      </w:pPr>
      <w:r>
        <w:rPr>
          <w:sz w:val="24"/>
          <w:szCs w:val="24"/>
        </w:rPr>
      </w:r>
    </w:p>
    <w:p>
      <w:pPr>
        <w:pStyle w:val="Normal"/>
        <w:ind w:left="0" w:right="0" w:hanging="0"/>
        <w:rPr/>
      </w:pPr>
      <w:r>
        <w:rPr/>
      </w:r>
    </w:p>
    <w:p>
      <w:pPr>
        <w:pStyle w:val="Normal"/>
        <w:ind w:left="0" w:right="0" w:hanging="0"/>
        <w:rPr/>
      </w:pPr>
      <w:r>
        <w:rPr/>
      </w:r>
    </w:p>
    <w:p>
      <w:pPr>
        <w:pStyle w:val="Normal"/>
        <w:ind w:left="0" w:right="0" w:hanging="0"/>
        <w:rPr/>
      </w:pPr>
      <w:r>
        <w:rPr/>
      </w:r>
    </w:p>
    <w:p>
      <w:pPr>
        <w:pStyle w:val="Normal"/>
        <w:ind w:left="0" w:right="0" w:hanging="0"/>
        <w:jc w:val="center"/>
        <w:rPr/>
      </w:pPr>
      <w:r>
        <w:rPr/>
      </w:r>
    </w:p>
    <w:p>
      <w:pPr>
        <w:pStyle w:val="Normal"/>
        <w:ind w:left="0" w:right="0" w:hanging="0"/>
        <w:jc w:val="center"/>
        <w:rPr>
          <w:b/>
          <w:bCs/>
          <w:caps/>
          <w:sz w:val="28"/>
          <w:szCs w:val="28"/>
        </w:rPr>
      </w:pPr>
      <w:r>
        <w:rPr>
          <w:b/>
          <w:bCs/>
          <w:sz w:val="28"/>
          <w:szCs w:val="28"/>
        </w:rPr>
        <w:t xml:space="preserve">ДОКУМЕНТАЦИЯ </w:t>
      </w:r>
      <w:r>
        <w:rPr>
          <w:b/>
          <w:bCs/>
          <w:caps/>
          <w:sz w:val="28"/>
          <w:szCs w:val="28"/>
        </w:rPr>
        <w:t>об аукционе В ЭЛЕКТРОННОЙ ФОРМЕ</w:t>
      </w:r>
    </w:p>
    <w:p>
      <w:pPr>
        <w:pStyle w:val="Normal"/>
        <w:ind w:left="0" w:right="0" w:hanging="0"/>
        <w:jc w:val="center"/>
        <w:rPr>
          <w:b/>
          <w:bCs/>
          <w:caps/>
          <w:sz w:val="28"/>
          <w:szCs w:val="28"/>
        </w:rPr>
      </w:pPr>
      <w:r>
        <w:rPr>
          <w:b/>
          <w:bCs/>
          <w:caps/>
          <w:sz w:val="28"/>
          <w:szCs w:val="28"/>
        </w:rPr>
        <w:t>(далее – аукцион)</w:t>
      </w:r>
    </w:p>
    <w:p>
      <w:pPr>
        <w:pStyle w:val="Normal"/>
        <w:tabs>
          <w:tab w:val="clear" w:pos="708"/>
          <w:tab w:val="left" w:pos="3810" w:leader="none"/>
        </w:tabs>
        <w:ind w:left="0" w:right="0" w:hanging="0"/>
        <w:jc w:val="center"/>
        <w:rPr/>
      </w:pPr>
      <w:r>
        <w:rPr/>
      </w:r>
    </w:p>
    <w:p>
      <w:pPr>
        <w:pStyle w:val="Normal"/>
        <w:jc w:val="center"/>
        <w:rPr>
          <w:b w:val="false"/>
          <w:bCs w:val="false"/>
          <w:highlight w:val="none"/>
          <w:shd w:fill="auto" w:val="clear"/>
        </w:rPr>
      </w:pPr>
      <w:r>
        <w:rPr>
          <w:rFonts w:eastAsia="Times New Roman" w:cs="Times New Roman"/>
          <w:b w:val="false"/>
          <w:bCs w:val="false"/>
          <w:color w:val="000000"/>
          <w:kern w:val="0"/>
          <w:sz w:val="28"/>
          <w:szCs w:val="28"/>
          <w:shd w:fill="auto" w:val="clear"/>
          <w:lang w:val="ru-RU" w:eastAsia="zh-CN" w:bidi="ar-SA"/>
        </w:rPr>
        <w:t>на право заключения договора на поставку</w:t>
      </w:r>
      <w:r>
        <w:rPr>
          <w:rFonts w:eastAsia="Times New Roman" w:cs="Times New Roman"/>
          <w:b w:val="false"/>
          <w:bCs w:val="false"/>
          <w:color w:val="000000"/>
          <w:kern w:val="0"/>
          <w:sz w:val="28"/>
          <w:szCs w:val="28"/>
          <w:shd w:fill="auto" w:val="clear"/>
          <w:lang w:val="ru-RU" w:eastAsia="zh-CN" w:bidi="ar-SA"/>
        </w:rPr>
        <w:t xml:space="preserve"> маммографических рентгеновских аппаратов</w:t>
      </w:r>
    </w:p>
    <w:p>
      <w:pPr>
        <w:pStyle w:val="Normal"/>
        <w:jc w:val="center"/>
        <w:rPr>
          <w:b w:val="false"/>
          <w:bCs w:val="false"/>
          <w:sz w:val="28"/>
          <w:szCs w:val="28"/>
          <w:highlight w:val="none"/>
          <w:shd w:fill="auto" w:val="clear"/>
        </w:rPr>
      </w:pPr>
      <w:r>
        <w:rPr>
          <w:b w:val="false"/>
          <w:bCs w:val="false"/>
          <w:sz w:val="28"/>
          <w:szCs w:val="28"/>
          <w:shd w:fill="auto" w:val="clear"/>
        </w:rPr>
      </w:r>
    </w:p>
    <w:p>
      <w:pPr>
        <w:pStyle w:val="Normal"/>
        <w:jc w:val="center"/>
        <w:rPr>
          <w:b/>
          <w:sz w:val="28"/>
          <w:szCs w:val="28"/>
        </w:rPr>
      </w:pPr>
      <w:r>
        <w:rPr>
          <w:b/>
          <w:sz w:val="28"/>
          <w:szCs w:val="28"/>
        </w:rPr>
      </w:r>
    </w:p>
    <w:p>
      <w:pPr>
        <w:pStyle w:val="Normal"/>
        <w:jc w:val="center"/>
        <w:rPr>
          <w:b/>
          <w:sz w:val="28"/>
          <w:szCs w:val="28"/>
        </w:rPr>
      </w:pPr>
      <w:r>
        <w:rPr>
          <w:b/>
          <w:sz w:val="28"/>
          <w:szCs w:val="28"/>
        </w:rPr>
      </w:r>
    </w:p>
    <w:p>
      <w:pPr>
        <w:pStyle w:val="Normal"/>
        <w:jc w:val="center"/>
        <w:rPr>
          <w:b/>
          <w:sz w:val="28"/>
          <w:szCs w:val="28"/>
        </w:rPr>
      </w:pPr>
      <w:r>
        <w:rPr>
          <w:b/>
          <w:sz w:val="28"/>
          <w:szCs w:val="28"/>
        </w:rPr>
      </w:r>
    </w:p>
    <w:p>
      <w:pPr>
        <w:pStyle w:val="Normal"/>
        <w:ind w:left="0" w:right="0" w:hanging="0"/>
        <w:rPr>
          <w:b/>
          <w:sz w:val="28"/>
          <w:szCs w:val="28"/>
        </w:rPr>
      </w:pPr>
      <w:r>
        <w:rPr>
          <w:b/>
          <w:sz w:val="28"/>
          <w:szCs w:val="28"/>
        </w:rPr>
      </w:r>
    </w:p>
    <w:p>
      <w:pPr>
        <w:pStyle w:val="Normal"/>
        <w:jc w:val="center"/>
        <w:rPr>
          <w:b/>
          <w:sz w:val="28"/>
          <w:szCs w:val="28"/>
        </w:rPr>
      </w:pPr>
      <w:r>
        <w:rPr>
          <w:b/>
          <w:sz w:val="28"/>
          <w:szCs w:val="28"/>
        </w:rPr>
      </w:r>
    </w:p>
    <w:p>
      <w:pPr>
        <w:pStyle w:val="Normal"/>
        <w:jc w:val="center"/>
        <w:rPr>
          <w:b/>
          <w:sz w:val="28"/>
          <w:szCs w:val="28"/>
        </w:rPr>
      </w:pPr>
      <w:r>
        <w:rPr>
          <w:b/>
          <w:sz w:val="28"/>
          <w:szCs w:val="28"/>
        </w:rPr>
      </w:r>
    </w:p>
    <w:p>
      <w:pPr>
        <w:pStyle w:val="Normal"/>
        <w:jc w:val="center"/>
        <w:rPr>
          <w:b/>
          <w:sz w:val="28"/>
          <w:szCs w:val="28"/>
        </w:rPr>
      </w:pPr>
      <w:r>
        <w:rPr>
          <w:b/>
          <w:sz w:val="28"/>
          <w:szCs w:val="28"/>
        </w:rPr>
      </w:r>
    </w:p>
    <w:p>
      <w:pPr>
        <w:pStyle w:val="Normal"/>
        <w:jc w:val="center"/>
        <w:rPr>
          <w:b/>
          <w:sz w:val="28"/>
          <w:szCs w:val="28"/>
        </w:rPr>
      </w:pPr>
      <w:r>
        <w:rPr>
          <w:b/>
          <w:sz w:val="28"/>
          <w:szCs w:val="28"/>
        </w:rPr>
      </w:r>
    </w:p>
    <w:p>
      <w:pPr>
        <w:pStyle w:val="Normal"/>
        <w:jc w:val="center"/>
        <w:rPr>
          <w:b/>
          <w:sz w:val="28"/>
          <w:szCs w:val="28"/>
        </w:rPr>
      </w:pPr>
      <w:r>
        <w:rPr>
          <w:b/>
          <w:sz w:val="28"/>
          <w:szCs w:val="28"/>
        </w:rPr>
      </w:r>
    </w:p>
    <w:p>
      <w:pPr>
        <w:pStyle w:val="Normal"/>
        <w:jc w:val="center"/>
        <w:rPr>
          <w:b/>
          <w:sz w:val="28"/>
          <w:szCs w:val="28"/>
        </w:rPr>
      </w:pPr>
      <w:r>
        <w:rPr>
          <w:b/>
          <w:sz w:val="28"/>
          <w:szCs w:val="28"/>
        </w:rPr>
      </w:r>
    </w:p>
    <w:p>
      <w:pPr>
        <w:pStyle w:val="Normal"/>
        <w:jc w:val="center"/>
        <w:rPr>
          <w:b/>
          <w:sz w:val="28"/>
          <w:szCs w:val="28"/>
        </w:rPr>
      </w:pPr>
      <w:r>
        <w:rPr>
          <w:b/>
          <w:sz w:val="28"/>
          <w:szCs w:val="28"/>
        </w:rPr>
      </w:r>
    </w:p>
    <w:p>
      <w:pPr>
        <w:pStyle w:val="Normal"/>
        <w:ind w:left="0" w:right="0" w:hanging="0"/>
        <w:rPr>
          <w:b/>
          <w:sz w:val="28"/>
          <w:szCs w:val="28"/>
        </w:rPr>
      </w:pPr>
      <w:r>
        <w:rPr>
          <w:b/>
          <w:sz w:val="28"/>
          <w:szCs w:val="28"/>
        </w:rPr>
      </w:r>
    </w:p>
    <w:p>
      <w:pPr>
        <w:pStyle w:val="Normal"/>
        <w:ind w:left="0" w:right="0" w:hanging="0"/>
        <w:rPr>
          <w:sz w:val="28"/>
          <w:szCs w:val="28"/>
        </w:rPr>
      </w:pPr>
      <w:r>
        <w:rPr>
          <w:sz w:val="28"/>
          <w:szCs w:val="28"/>
        </w:rPr>
      </w:r>
    </w:p>
    <w:p>
      <w:pPr>
        <w:pStyle w:val="Normal"/>
        <w:ind w:left="0" w:right="0" w:hanging="0"/>
        <w:jc w:val="center"/>
        <w:rPr>
          <w:sz w:val="28"/>
          <w:szCs w:val="28"/>
        </w:rPr>
      </w:pPr>
      <w:r>
        <w:rPr>
          <w:sz w:val="28"/>
          <w:szCs w:val="28"/>
        </w:rPr>
        <w:t>г. Казань</w:t>
      </w:r>
    </w:p>
    <w:p>
      <w:pPr>
        <w:pStyle w:val="Normal"/>
        <w:numPr>
          <w:ilvl w:val="0"/>
          <w:numId w:val="6"/>
        </w:numPr>
        <w:ind w:left="960" w:right="0" w:hanging="600"/>
        <w:jc w:val="center"/>
        <w:rPr/>
      </w:pPr>
      <w:r>
        <w:rPr>
          <w:sz w:val="28"/>
          <w:szCs w:val="28"/>
        </w:rPr>
        <w:t>г.</w:t>
      </w:r>
    </w:p>
    <w:p>
      <w:pPr>
        <w:pStyle w:val="Normal"/>
        <w:jc w:val="center"/>
        <w:rPr/>
      </w:pPr>
      <w:r>
        <w:rPr/>
      </w:r>
    </w:p>
    <w:p>
      <w:pPr>
        <w:pStyle w:val="Normal"/>
        <w:jc w:val="center"/>
        <w:rPr/>
      </w:pPr>
      <w:r>
        <w:rPr/>
      </w:r>
    </w:p>
    <w:p>
      <w:pPr>
        <w:pStyle w:val="Style37"/>
        <w:numPr>
          <w:ilvl w:val="0"/>
          <w:numId w:val="0"/>
        </w:numPr>
        <w:ind w:left="993" w:right="0" w:hanging="0"/>
        <w:jc w:val="center"/>
        <w:rPr/>
      </w:pPr>
      <w:r>
        <w:rPr/>
        <w:t>Часть 1. Общие сведения.</w:t>
      </w:r>
    </w:p>
    <w:p>
      <w:pPr>
        <w:pStyle w:val="Style37"/>
        <w:numPr>
          <w:ilvl w:val="0"/>
          <w:numId w:val="0"/>
        </w:numPr>
        <w:ind w:left="993" w:right="0" w:hanging="0"/>
        <w:jc w:val="center"/>
        <w:rPr/>
      </w:pPr>
      <w:r>
        <w:rPr/>
      </w:r>
    </w:p>
    <w:p>
      <w:pPr>
        <w:pStyle w:val="Style37"/>
        <w:numPr>
          <w:ilvl w:val="0"/>
          <w:numId w:val="0"/>
        </w:numPr>
        <w:ind w:left="0" w:right="0" w:hanging="0"/>
        <w:jc w:val="center"/>
        <w:rPr/>
      </w:pPr>
      <w:r>
        <w:rPr/>
        <w:t>Раздел 1.1. Информация о заказчике, уполномоченном органе.</w:t>
      </w:r>
    </w:p>
    <w:p>
      <w:pPr>
        <w:pStyle w:val="ListNumber2"/>
        <w:numPr>
          <w:ilvl w:val="0"/>
          <w:numId w:val="0"/>
        </w:numPr>
        <w:tabs>
          <w:tab w:val="clear" w:pos="708"/>
          <w:tab w:val="left" w:pos="993" w:leader="none"/>
        </w:tabs>
        <w:ind w:left="0" w:right="0" w:hanging="0"/>
        <w:outlineLvl w:val="0"/>
        <w:rPr/>
      </w:pPr>
      <w:r>
        <w:rPr/>
        <w:t xml:space="preserve">        </w:t>
      </w:r>
      <w:r>
        <w:rPr>
          <w:b/>
          <w:bCs/>
          <w:u w:val="single"/>
        </w:rPr>
        <w:t>Сведения о заказчике:</w:t>
      </w:r>
      <w:r>
        <w:rPr/>
        <w:t xml:space="preserve"> </w:t>
      </w:r>
    </w:p>
    <w:p>
      <w:pPr>
        <w:pStyle w:val="ListNumber2"/>
        <w:widowControl/>
        <w:numPr>
          <w:ilvl w:val="0"/>
          <w:numId w:val="0"/>
        </w:numPr>
        <w:tabs>
          <w:tab w:val="clear" w:pos="708"/>
          <w:tab w:val="left" w:pos="993" w:leader="none"/>
        </w:tabs>
        <w:suppressAutoHyphens w:val="true"/>
        <w:bidi w:val="0"/>
        <w:spacing w:before="0" w:after="0"/>
        <w:ind w:left="454" w:right="0" w:hanging="0"/>
        <w:contextualSpacing/>
        <w:jc w:val="both"/>
        <w:outlineLvl w:val="0"/>
        <w:rPr/>
      </w:pPr>
      <w:r>
        <w:rPr/>
        <w:t xml:space="preserve">Наименование: Государственное автономное учреждение Республики Татарстан «Диспетчерский центр Министерства здравоохранения Республики Татарстан» (далее – </w:t>
        <w:br/>
        <w:t>ДЦ МЗ РТ)</w:t>
      </w:r>
    </w:p>
    <w:p>
      <w:pPr>
        <w:pStyle w:val="ListNumber2"/>
        <w:widowControl/>
        <w:numPr>
          <w:ilvl w:val="0"/>
          <w:numId w:val="0"/>
        </w:numPr>
        <w:suppressAutoHyphens w:val="true"/>
        <w:bidi w:val="0"/>
        <w:spacing w:before="0" w:after="0"/>
        <w:ind w:left="454" w:right="0" w:hanging="0"/>
        <w:contextualSpacing/>
        <w:jc w:val="both"/>
        <w:outlineLvl w:val="0"/>
        <w:rPr/>
      </w:pPr>
      <w:r>
        <w:rPr/>
        <w:t>ИНН 1660142081</w:t>
      </w:r>
    </w:p>
    <w:p>
      <w:pPr>
        <w:pStyle w:val="ListNumber2"/>
        <w:widowControl/>
        <w:numPr>
          <w:ilvl w:val="0"/>
          <w:numId w:val="0"/>
        </w:numPr>
        <w:suppressAutoHyphens w:val="true"/>
        <w:bidi w:val="0"/>
        <w:spacing w:before="0" w:after="0"/>
        <w:ind w:left="454" w:right="0" w:hanging="0"/>
        <w:contextualSpacing/>
        <w:jc w:val="both"/>
        <w:outlineLvl w:val="0"/>
        <w:rPr/>
      </w:pPr>
      <w:r>
        <w:rPr/>
        <w:t>Адрес: 420073, Республика Татарстан, г. Казань, ул. Ад. Кутуя, 88</w:t>
      </w:r>
    </w:p>
    <w:p>
      <w:pPr>
        <w:pStyle w:val="ListNumber2"/>
        <w:widowControl/>
        <w:numPr>
          <w:ilvl w:val="0"/>
          <w:numId w:val="0"/>
        </w:numPr>
        <w:suppressAutoHyphens w:val="true"/>
        <w:bidi w:val="0"/>
        <w:spacing w:before="0" w:after="0"/>
        <w:ind w:left="0" w:right="0" w:firstLine="454"/>
        <w:contextualSpacing/>
        <w:jc w:val="both"/>
        <w:outlineLvl w:val="0"/>
        <w:rPr/>
      </w:pPr>
      <w:r>
        <w:rPr/>
        <w:t xml:space="preserve">Контактное лицо: </w:t>
      </w:r>
      <w:r>
        <w:rPr>
          <w:rFonts w:eastAsia="Arial Unicode MS"/>
        </w:rPr>
        <w:t>Степанова Ангелина Олеговна</w:t>
      </w:r>
    </w:p>
    <w:p>
      <w:pPr>
        <w:pStyle w:val="ListNumber2"/>
        <w:widowControl/>
        <w:numPr>
          <w:ilvl w:val="0"/>
          <w:numId w:val="0"/>
        </w:numPr>
        <w:suppressAutoHyphens w:val="true"/>
        <w:bidi w:val="0"/>
        <w:spacing w:before="0" w:after="0"/>
        <w:ind w:left="0" w:right="0" w:firstLine="454"/>
        <w:contextualSpacing/>
        <w:jc w:val="both"/>
        <w:outlineLvl w:val="0"/>
        <w:rPr/>
      </w:pPr>
      <w:r>
        <w:rPr/>
        <w:t xml:space="preserve">Телефон/факс: 8(843) 221-03-91 </w:t>
      </w:r>
    </w:p>
    <w:p>
      <w:pPr>
        <w:pStyle w:val="Normal"/>
        <w:widowControl/>
        <w:suppressAutoHyphens w:val="true"/>
        <w:bidi w:val="0"/>
        <w:spacing w:before="0" w:after="0"/>
        <w:ind w:left="0" w:right="113" w:firstLine="454"/>
        <w:jc w:val="both"/>
        <w:rPr>
          <w:highlight w:val="none"/>
        </w:rPr>
      </w:pPr>
      <w:r>
        <w:rPr/>
        <w:t xml:space="preserve">Электронная почта: </w:t>
      </w:r>
      <w:hyperlink r:id="rId2">
        <w:r>
          <w:rPr>
            <w:rStyle w:val="-"/>
            <w:lang w:val="en-US"/>
          </w:rPr>
          <w:t>dc</w:t>
        </w:r>
        <w:r>
          <w:rPr>
            <w:rStyle w:val="-"/>
          </w:rPr>
          <w:t>.</w:t>
        </w:r>
        <w:r>
          <w:rPr>
            <w:rStyle w:val="-"/>
            <w:lang w:val="en-US"/>
          </w:rPr>
          <w:t>info</w:t>
        </w:r>
        <w:r>
          <w:rPr>
            <w:rStyle w:val="-"/>
          </w:rPr>
          <w:t>@</w:t>
        </w:r>
        <w:r>
          <w:rPr>
            <w:rStyle w:val="-"/>
            <w:lang w:val="en-US"/>
          </w:rPr>
          <w:t>tatar</w:t>
        </w:r>
        <w:r>
          <w:rPr>
            <w:rStyle w:val="-"/>
          </w:rPr>
          <w:t>.</w:t>
        </w:r>
        <w:r>
          <w:rPr>
            <w:rStyle w:val="-"/>
            <w:lang w:val="en-US"/>
          </w:rPr>
          <w:t>ru</w:t>
        </w:r>
      </w:hyperlink>
    </w:p>
    <w:p>
      <w:pPr>
        <w:pStyle w:val="Normal"/>
        <w:widowControl/>
        <w:suppressAutoHyphens w:val="true"/>
        <w:bidi w:val="0"/>
        <w:spacing w:before="0" w:after="0"/>
        <w:ind w:left="0" w:right="113" w:firstLine="454"/>
        <w:jc w:val="both"/>
        <w:rPr>
          <w:highlight w:val="none"/>
        </w:rPr>
      </w:pPr>
      <w:r>
        <w:rPr>
          <w:b/>
          <w:bCs/>
          <w:u w:val="single"/>
        </w:rPr>
        <w:t>Сведения об уполномоченном органе:</w:t>
      </w:r>
    </w:p>
    <w:p>
      <w:pPr>
        <w:pStyle w:val="ListNumber2"/>
        <w:widowControl/>
        <w:numPr>
          <w:ilvl w:val="0"/>
          <w:numId w:val="0"/>
        </w:numPr>
        <w:tabs>
          <w:tab w:val="clear" w:pos="708"/>
          <w:tab w:val="left" w:pos="993" w:leader="none"/>
        </w:tabs>
        <w:suppressAutoHyphens w:val="true"/>
        <w:bidi w:val="0"/>
        <w:spacing w:before="0" w:after="0"/>
        <w:ind w:left="454" w:right="0" w:hanging="0"/>
        <w:contextualSpacing/>
        <w:jc w:val="both"/>
        <w:outlineLvl w:val="0"/>
        <w:rPr>
          <w:rFonts w:ascii="Times New Roman" w:hAnsi="Times New Roman" w:eastAsia="Times New Roman" w:cs="Times New Roman"/>
          <w:color w:val="auto"/>
          <w:kern w:val="0"/>
          <w:sz w:val="24"/>
          <w:szCs w:val="24"/>
          <w:lang w:val="ru-RU" w:eastAsia="zh-CN" w:bidi="ar-SA"/>
        </w:rPr>
      </w:pPr>
      <w:r>
        <w:rPr>
          <w:rFonts w:eastAsia="Times New Roman" w:cs="Times New Roman"/>
          <w:color w:val="auto"/>
          <w:kern w:val="0"/>
          <w:sz w:val="24"/>
          <w:szCs w:val="24"/>
          <w:lang w:val="ru-RU" w:eastAsia="zh-CN" w:bidi="ar-SA"/>
        </w:rPr>
        <w:t>Наименование: Государственный комитет Республики Татарстан по закупкам.</w:t>
      </w:r>
    </w:p>
    <w:p>
      <w:pPr>
        <w:pStyle w:val="ListNumber2"/>
        <w:widowControl/>
        <w:numPr>
          <w:ilvl w:val="0"/>
          <w:numId w:val="0"/>
        </w:numPr>
        <w:tabs>
          <w:tab w:val="clear" w:pos="708"/>
          <w:tab w:val="left" w:pos="993" w:leader="none"/>
        </w:tabs>
        <w:suppressAutoHyphens w:val="true"/>
        <w:bidi w:val="0"/>
        <w:spacing w:before="0" w:after="0"/>
        <w:ind w:left="454" w:right="0" w:hanging="0"/>
        <w:contextualSpacing/>
        <w:jc w:val="both"/>
        <w:outlineLvl w:val="0"/>
        <w:rPr>
          <w:rFonts w:ascii="Times New Roman" w:hAnsi="Times New Roman" w:eastAsia="Times New Roman" w:cs="Times New Roman"/>
          <w:color w:val="auto"/>
          <w:kern w:val="0"/>
          <w:sz w:val="24"/>
          <w:szCs w:val="24"/>
          <w:lang w:val="ru-RU" w:eastAsia="zh-CN" w:bidi="ar-SA"/>
        </w:rPr>
      </w:pPr>
      <w:r>
        <w:rPr>
          <w:rFonts w:eastAsia="Times New Roman" w:cs="Times New Roman"/>
          <w:color w:val="auto"/>
          <w:kern w:val="0"/>
          <w:sz w:val="24"/>
          <w:szCs w:val="24"/>
          <w:lang w:val="ru-RU" w:eastAsia="zh-CN" w:bidi="ar-SA"/>
        </w:rPr>
        <w:t>Адрес: 420107, Республика Татарстан, г. Казань, ул. Петербургская, д.86.</w:t>
      </w:r>
    </w:p>
    <w:p>
      <w:pPr>
        <w:pStyle w:val="ListNumber2"/>
        <w:widowControl/>
        <w:numPr>
          <w:ilvl w:val="0"/>
          <w:numId w:val="0"/>
        </w:numPr>
        <w:tabs>
          <w:tab w:val="clear" w:pos="708"/>
          <w:tab w:val="left" w:pos="993" w:leader="none"/>
        </w:tabs>
        <w:suppressAutoHyphens w:val="true"/>
        <w:bidi w:val="0"/>
        <w:spacing w:before="0" w:after="0"/>
        <w:ind w:left="454" w:right="0" w:hanging="0"/>
        <w:contextualSpacing/>
        <w:jc w:val="both"/>
        <w:outlineLvl w:val="0"/>
        <w:rPr>
          <w:highlight w:val="none"/>
          <w:shd w:fill="auto" w:val="clear"/>
        </w:rPr>
      </w:pPr>
      <w:r>
        <w:rPr>
          <w:rFonts w:eastAsia="Times New Roman" w:cs="Times New Roman"/>
          <w:color w:val="000000"/>
          <w:kern w:val="0"/>
          <w:sz w:val="24"/>
          <w:szCs w:val="24"/>
          <w:shd w:fill="auto" w:val="clear"/>
          <w:lang w:val="ru-RU" w:eastAsia="zh-CN" w:bidi="ar-SA"/>
        </w:rPr>
        <w:t>Номер контактного телефона: +7 (843) 562-04-84 (доб</w:t>
      </w:r>
      <w:r>
        <w:rPr>
          <w:rFonts w:eastAsia="Times New Roman" w:cs="Times New Roman"/>
          <w:color w:val="000000"/>
          <w:kern w:val="0"/>
          <w:sz w:val="24"/>
          <w:szCs w:val="24"/>
          <w:shd w:fill="auto" w:val="clear"/>
          <w:lang w:val="ru-RU" w:eastAsia="zh-CN" w:bidi="ar-SA"/>
        </w:rPr>
        <w:t>.</w:t>
      </w:r>
      <w:r>
        <w:rPr>
          <w:rFonts w:eastAsia="Times New Roman" w:cs="Times New Roman"/>
          <w:color w:val="000000"/>
          <w:kern w:val="0"/>
          <w:sz w:val="24"/>
          <w:szCs w:val="24"/>
          <w:shd w:fill="auto" w:val="clear"/>
          <w:lang w:val="ru-RU" w:eastAsia="zh-CN" w:bidi="ar-SA"/>
        </w:rPr>
        <w:t>134</w:t>
      </w:r>
      <w:r>
        <w:rPr>
          <w:rFonts w:eastAsia="Times New Roman" w:cs="Times New Roman"/>
          <w:color w:val="000000"/>
          <w:kern w:val="0"/>
          <w:sz w:val="24"/>
          <w:szCs w:val="24"/>
          <w:shd w:fill="auto" w:val="clear"/>
          <w:lang w:val="ru-RU" w:eastAsia="zh-CN" w:bidi="ar-SA"/>
        </w:rPr>
        <w:t xml:space="preserve">) </w:t>
      </w:r>
      <w:r>
        <w:rPr>
          <w:rFonts w:eastAsia="Times New Roman" w:cs="Times New Roman"/>
          <w:color w:val="000000"/>
          <w:kern w:val="0"/>
          <w:sz w:val="24"/>
          <w:szCs w:val="24"/>
          <w:shd w:fill="auto" w:val="clear"/>
          <w:lang w:val="ru-RU" w:eastAsia="zh-CN" w:bidi="ar-SA"/>
        </w:rPr>
        <w:t>Ковалева Лариса Александровна</w:t>
      </w:r>
      <w:r>
        <w:rPr>
          <w:rFonts w:eastAsia="Times New Roman" w:cs="Times New Roman"/>
          <w:color w:val="000000"/>
          <w:kern w:val="0"/>
          <w:sz w:val="24"/>
          <w:szCs w:val="24"/>
          <w:shd w:fill="auto" w:val="clear"/>
          <w:lang w:val="ru-RU" w:eastAsia="zh-CN" w:bidi="ar-SA"/>
        </w:rPr>
        <w:t>.</w:t>
      </w:r>
    </w:p>
    <w:p>
      <w:pPr>
        <w:pStyle w:val="ListNumber2"/>
        <w:widowControl/>
        <w:numPr>
          <w:ilvl w:val="0"/>
          <w:numId w:val="0"/>
        </w:numPr>
        <w:tabs>
          <w:tab w:val="clear" w:pos="708"/>
          <w:tab w:val="left" w:pos="993" w:leader="none"/>
        </w:tabs>
        <w:suppressAutoHyphens w:val="true"/>
        <w:bidi w:val="0"/>
        <w:spacing w:before="0" w:after="0"/>
        <w:ind w:left="454" w:right="0" w:hanging="0"/>
        <w:contextualSpacing/>
        <w:jc w:val="both"/>
        <w:outlineLvl w:val="0"/>
        <w:rPr>
          <w:highlight w:val="none"/>
          <w:shd w:fill="FFFF00" w:val="clear"/>
        </w:rPr>
      </w:pPr>
      <w:r>
        <w:rPr>
          <w:shd w:fill="FFFF00" w:val="clear"/>
        </w:rPr>
      </w:r>
    </w:p>
    <w:p>
      <w:pPr>
        <w:pStyle w:val="Style37"/>
        <w:numPr>
          <w:ilvl w:val="0"/>
          <w:numId w:val="0"/>
        </w:numPr>
        <w:ind w:left="0" w:right="0" w:hanging="0"/>
        <w:jc w:val="center"/>
        <w:rPr/>
      </w:pPr>
      <w:r>
        <w:rPr/>
        <w:t>Раздел 1.2. Законодательное регулирование.</w:t>
      </w:r>
    </w:p>
    <w:p>
      <w:pPr>
        <w:pStyle w:val="ListNumber2"/>
        <w:numPr>
          <w:ilvl w:val="0"/>
          <w:numId w:val="0"/>
        </w:numPr>
        <w:tabs>
          <w:tab w:val="clear" w:pos="708"/>
          <w:tab w:val="left" w:pos="993" w:leader="none"/>
        </w:tabs>
        <w:ind w:left="0" w:right="0" w:hanging="0"/>
        <w:rPr/>
      </w:pPr>
      <w:r>
        <w:rPr/>
        <w:t xml:space="preserve">      </w:t>
      </w:r>
      <w:r>
        <w:rPr/>
        <w:t>Настоящая документация об аукционе подготовлена в соответствии Гражданским кодексом Российской Федерации, Федеральным законом от 18 июля 2011 года  № 223-ФЗ «О закупках товаров, работ, услуг отдельными видами юридических лиц», Федеральным законом от 26.07.2006 № 135 «О защите конкуренции» другими федеральными законами и иными нормативными правовыми актами Российской Федерации, а также Положением о закупках товаров, работ, услуг для нужд ДЦ МЗ РТ (далее - Положение) и иными внутренними документами Заказчика.</w:t>
      </w:r>
    </w:p>
    <w:p>
      <w:pPr>
        <w:pStyle w:val="ListNumber2"/>
        <w:numPr>
          <w:ilvl w:val="0"/>
          <w:numId w:val="0"/>
        </w:numPr>
        <w:tabs>
          <w:tab w:val="clear" w:pos="708"/>
          <w:tab w:val="left" w:pos="993" w:leader="none"/>
        </w:tabs>
        <w:ind w:left="0" w:right="0" w:hanging="0"/>
        <w:rPr/>
      </w:pPr>
      <w:r>
        <w:rPr/>
      </w:r>
    </w:p>
    <w:p>
      <w:pPr>
        <w:pStyle w:val="ListNumber2"/>
        <w:numPr>
          <w:ilvl w:val="0"/>
          <w:numId w:val="0"/>
        </w:numPr>
        <w:tabs>
          <w:tab w:val="clear" w:pos="708"/>
          <w:tab w:val="left" w:pos="993" w:leader="none"/>
        </w:tabs>
        <w:ind w:left="0" w:right="0" w:hanging="0"/>
        <w:jc w:val="center"/>
        <w:rPr>
          <w:b/>
          <w:bCs/>
        </w:rPr>
      </w:pPr>
      <w:r>
        <w:rPr>
          <w:b/>
          <w:bCs/>
        </w:rPr>
        <w:t>Раздел 1.3. Информация об участии в аукционе, способе определения поставщика.</w:t>
      </w:r>
    </w:p>
    <w:p>
      <w:pPr>
        <w:pStyle w:val="ListNumber2"/>
        <w:numPr>
          <w:ilvl w:val="0"/>
          <w:numId w:val="0"/>
        </w:numPr>
        <w:tabs>
          <w:tab w:val="clear" w:pos="708"/>
          <w:tab w:val="left" w:pos="993" w:leader="none"/>
        </w:tabs>
        <w:ind w:left="0" w:right="0" w:hanging="0"/>
        <w:jc w:val="both"/>
        <w:rPr/>
      </w:pPr>
      <w:r>
        <w:rPr/>
        <w:t xml:space="preserve">     </w:t>
      </w:r>
      <w:r>
        <w:rPr/>
        <w:t xml:space="preserve">Участник закупки обязан изучить документацию об аукционе, включая все условия, требования, приложения и спецификации. Непредставление полной информации, требуемой в документации об аукционе </w:t>
      </w:r>
      <w:r>
        <w:rPr>
          <w:color w:val="000000"/>
        </w:rPr>
        <w:t xml:space="preserve">(за исключением информации о стране происхождения товаров), </w:t>
      </w:r>
      <w:r>
        <w:rPr/>
        <w:t>представление недостоверных, неверных, противоречивых сведений или подача заявки, не отвечающей требованиям, содержащимся в документации об аукционе, является риском Участника закупки, подавшего такую заявку, который может привести к отклонению его заявки.</w:t>
      </w:r>
    </w:p>
    <w:p>
      <w:pPr>
        <w:pStyle w:val="ListNumber2"/>
        <w:widowControl/>
        <w:numPr>
          <w:ilvl w:val="0"/>
          <w:numId w:val="0"/>
        </w:numPr>
        <w:tabs>
          <w:tab w:val="clear" w:pos="708"/>
          <w:tab w:val="left" w:pos="993" w:leader="none"/>
        </w:tabs>
        <w:suppressAutoHyphens w:val="true"/>
        <w:bidi w:val="0"/>
        <w:spacing w:before="0" w:after="0"/>
        <w:ind w:left="0" w:right="0" w:hanging="0"/>
        <w:contextualSpacing/>
        <w:jc w:val="both"/>
        <w:rPr/>
      </w:pPr>
      <w:r>
        <w:rPr>
          <w:rFonts w:eastAsia="Times New Roman" w:cs="Times New Roman"/>
          <w:kern w:val="0"/>
          <w:sz w:val="24"/>
          <w:szCs w:val="24"/>
          <w:lang w:val="ru-RU" w:eastAsia="zh-CN" w:bidi="ar-SA"/>
        </w:rPr>
        <w:t xml:space="preserve">     </w:t>
      </w:r>
      <w:r>
        <w:rPr>
          <w:rFonts w:eastAsia="Times New Roman" w:cs="Times New Roman"/>
          <w:kern w:val="0"/>
          <w:sz w:val="24"/>
          <w:szCs w:val="24"/>
          <w:lang w:val="ru-RU" w:eastAsia="zh-CN" w:bidi="ar-SA"/>
        </w:rPr>
        <w:t xml:space="preserve">На сайте электронной торговой площадки https://etpzakupki.tatar и в Единой информационной системе по адресу zakupki.gov.ru (далее – ЕИС (zakupki.gov.ru)) будут публиковаться все разъяснения, касающиеся настоящей документации об аукционе, а также все изменения или дополнения документации об аукционе, в случае возникновения таковых. </w:t>
      </w:r>
    </w:p>
    <w:p>
      <w:pPr>
        <w:pStyle w:val="Normal"/>
        <w:suppressAutoHyphens w:val="false"/>
        <w:spacing w:lineRule="auto" w:line="240" w:before="0" w:after="0"/>
        <w:ind w:left="0" w:right="0" w:firstLine="709"/>
        <w:contextualSpacing/>
        <w:jc w:val="both"/>
        <w:rPr>
          <w:rFonts w:ascii="Times New Roman" w:hAnsi="Times New Roman" w:eastAsia="Times New Roman" w:cs="Times New Roman"/>
          <w:kern w:val="0"/>
          <w:sz w:val="24"/>
          <w:szCs w:val="24"/>
          <w:lang w:val="ru-RU" w:eastAsia="zh-CN" w:bidi="ar-SA"/>
        </w:rPr>
      </w:pPr>
      <w:r>
        <w:rPr>
          <w:rFonts w:eastAsia="Times New Roman" w:cs="Times New Roman"/>
          <w:kern w:val="0"/>
          <w:sz w:val="24"/>
          <w:szCs w:val="24"/>
          <w:lang w:val="ru-RU" w:eastAsia="zh-CN" w:bidi="ar-SA"/>
        </w:rPr>
        <w:t xml:space="preserve">    </w:t>
      </w:r>
      <w:r>
        <w:rPr>
          <w:rFonts w:eastAsia="Times New Roman" w:cs="Times New Roman"/>
          <w:kern w:val="0"/>
          <w:sz w:val="24"/>
          <w:szCs w:val="24"/>
          <w:lang w:val="ru-RU" w:eastAsia="zh-CN" w:bidi="ar-SA"/>
        </w:rPr>
        <w:t>Документация об аукционе доступна для ознакомления на сайте электронной торговой площадки https://etpzakupki.tatar и в ЕИС (zakupki.gov.ru) без взимания платы.</w:t>
      </w:r>
    </w:p>
    <w:p>
      <w:pPr>
        <w:pStyle w:val="ListNumber2"/>
        <w:numPr>
          <w:ilvl w:val="0"/>
          <w:numId w:val="0"/>
        </w:numPr>
        <w:tabs>
          <w:tab w:val="clear" w:pos="708"/>
          <w:tab w:val="left" w:pos="993" w:leader="none"/>
        </w:tabs>
        <w:ind w:left="0" w:right="0" w:hanging="0"/>
        <w:jc w:val="both"/>
        <w:rPr/>
      </w:pPr>
      <w:r>
        <w:rPr>
          <w:rStyle w:val="-"/>
          <w:rFonts w:eastAsia="Times New Roman" w:cs="Times New Roman"/>
          <w:color w:val="auto"/>
          <w:kern w:val="0"/>
          <w:sz w:val="24"/>
          <w:szCs w:val="24"/>
          <w:u w:val="none"/>
          <w:lang w:val="ru-RU" w:eastAsia="zh-CN" w:bidi="ar-SA"/>
        </w:rPr>
        <w:t xml:space="preserve">         </w:t>
      </w:r>
      <w:r>
        <w:rPr>
          <w:rStyle w:val="-"/>
          <w:rFonts w:eastAsia="Times New Roman" w:cs="Times New Roman"/>
          <w:color w:val="auto"/>
          <w:kern w:val="0"/>
          <w:sz w:val="24"/>
          <w:szCs w:val="24"/>
          <w:u w:val="none"/>
          <w:lang w:val="ru-RU" w:eastAsia="zh-CN" w:bidi="ar-SA"/>
        </w:rPr>
        <w:t>Обращаем внимание на то, что Участники закупки должны самостоятельно отслеживать появление в ЕИС (zakupki.gov.ru) разъяснений, изменений или дополнений документации об аукционе.</w:t>
      </w:r>
    </w:p>
    <w:p>
      <w:pPr>
        <w:pStyle w:val="ListNumber2"/>
        <w:numPr>
          <w:ilvl w:val="0"/>
          <w:numId w:val="0"/>
        </w:numPr>
        <w:tabs>
          <w:tab w:val="clear" w:pos="708"/>
          <w:tab w:val="left" w:pos="993" w:leader="none"/>
        </w:tabs>
        <w:ind w:left="0" w:right="0" w:hanging="0"/>
        <w:jc w:val="both"/>
        <w:rPr>
          <w:rStyle w:val="-"/>
          <w:rFonts w:ascii="Times New Roman" w:hAnsi="Times New Roman" w:eastAsia="Times New Roman" w:cs="Times New Roman"/>
          <w:color w:val="auto"/>
          <w:kern w:val="0"/>
          <w:sz w:val="24"/>
          <w:szCs w:val="24"/>
          <w:u w:val="none"/>
          <w:lang w:val="ru-RU" w:eastAsia="zh-CN" w:bidi="ar-SA"/>
        </w:rPr>
      </w:pPr>
      <w:r>
        <w:rPr>
          <w:rFonts w:eastAsia="Times New Roman" w:cs="Times New Roman"/>
          <w:color w:val="auto"/>
          <w:kern w:val="0"/>
          <w:sz w:val="24"/>
          <w:szCs w:val="24"/>
          <w:u w:val="none"/>
          <w:lang w:val="ru-RU" w:eastAsia="zh-CN" w:bidi="ar-SA"/>
        </w:rPr>
      </w:r>
    </w:p>
    <w:p>
      <w:pPr>
        <w:pStyle w:val="Normal"/>
        <w:ind w:left="0" w:right="0" w:hanging="0"/>
        <w:jc w:val="center"/>
        <w:rPr>
          <w:b/>
          <w:szCs w:val="22"/>
        </w:rPr>
      </w:pPr>
      <w:r>
        <w:rPr>
          <w:b/>
        </w:rPr>
        <w:t xml:space="preserve">Раздел 1.4. </w:t>
      </w:r>
      <w:r>
        <w:rPr>
          <w:b/>
          <w:szCs w:val="22"/>
        </w:rPr>
        <w:t>Предоставление национального режима при осуществлении закупок.</w:t>
      </w:r>
    </w:p>
    <w:p>
      <w:pPr>
        <w:pStyle w:val="Normal"/>
        <w:widowControl/>
        <w:suppressAutoHyphens w:val="true"/>
        <w:bidi w:val="0"/>
        <w:spacing w:before="0" w:after="0"/>
        <w:ind w:left="0" w:right="0" w:firstLine="850"/>
        <w:jc w:val="both"/>
        <w:rPr>
          <w:szCs w:val="22"/>
        </w:rPr>
      </w:pPr>
      <w:r>
        <w:rPr>
          <w:szCs w:val="22"/>
        </w:rPr>
        <w:t>При осуществлении закупки предоставляется национальный режим, обеспечивающий происходящему из иностранного государства или группы иностранных государств товару, работе, услуге, соответственно выполняемой, оказываемой иностранным гражданином или иностранным юридическим,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за исключением случаев принятия Правительством РФ мер, предусмотренных пунктом 1 части 2 статьи 3.1-4 ФЗ-223. Если иное не предусмотрено мерами, принятыми Правительством РФ в соответствии с пунктом 1 части 2 статьи 3.1-4 ФЗ-223, положения статьи 3.1-4 ФЗ-223,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pPr>
        <w:pStyle w:val="Normal"/>
        <w:ind w:left="0" w:right="0" w:firstLine="567"/>
        <w:rPr>
          <w:szCs w:val="22"/>
        </w:rPr>
      </w:pPr>
      <w:r>
        <w:rPr>
          <w:szCs w:val="22"/>
        </w:rPr>
        <w:t xml:space="preserve">В соответствии с Постановлением Правительства Российской Федерации от 23 декабря 2024 г. N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r>
        <w:rPr>
          <w:b/>
          <w:bCs/>
          <w:szCs w:val="22"/>
          <w:shd w:fill="auto" w:val="clear"/>
        </w:rPr>
        <w:t>уст</w:t>
      </w:r>
      <w:r>
        <w:rPr>
          <w:b/>
          <w:szCs w:val="22"/>
          <w:shd w:fill="auto" w:val="clear"/>
        </w:rPr>
        <w:t>ановлено Ограничение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r>
        <w:rPr>
          <w:szCs w:val="22"/>
          <w:shd w:fill="auto" w:val="clear"/>
        </w:rPr>
        <w:t>.</w:t>
      </w:r>
    </w:p>
    <w:p>
      <w:pPr>
        <w:pStyle w:val="ListNumber2"/>
        <w:numPr>
          <w:ilvl w:val="0"/>
          <w:numId w:val="0"/>
        </w:numPr>
        <w:tabs>
          <w:tab w:val="clear" w:pos="708"/>
          <w:tab w:val="left" w:pos="993" w:leader="none"/>
        </w:tabs>
        <w:ind w:left="0" w:right="0" w:firstLine="709"/>
        <w:rPr>
          <w:highlight w:val="none"/>
          <w:shd w:fill="auto" w:val="clear"/>
        </w:rPr>
      </w:pPr>
      <w:r>
        <w:rPr>
          <w:shd w:fill="auto" w:val="clear"/>
        </w:rPr>
      </w:r>
    </w:p>
    <w:p>
      <w:pPr>
        <w:pStyle w:val="ListNumber2"/>
        <w:numPr>
          <w:ilvl w:val="0"/>
          <w:numId w:val="0"/>
        </w:numPr>
        <w:tabs>
          <w:tab w:val="clear" w:pos="708"/>
          <w:tab w:val="left" w:pos="993" w:leader="none"/>
        </w:tabs>
        <w:ind w:left="0" w:right="0" w:firstLine="709"/>
        <w:rPr>
          <w:rFonts w:ascii="Times New Roman" w:hAnsi="Times New Roman" w:eastAsia="Times New Roman" w:cs="Times New Roman"/>
          <w:b/>
          <w:color w:val="auto"/>
          <w:kern w:val="0"/>
          <w:sz w:val="24"/>
          <w:szCs w:val="24"/>
          <w:highlight w:val="none"/>
          <w:shd w:fill="auto" w:val="clear"/>
          <w:lang w:val="ru-RU" w:eastAsia="zh-CN" w:bidi="ar-SA"/>
        </w:rPr>
      </w:pPr>
      <w:r>
        <w:rPr>
          <w:rFonts w:eastAsia="Times New Roman" w:cs="Times New Roman"/>
          <w:b/>
          <w:color w:val="000000"/>
          <w:kern w:val="0"/>
          <w:sz w:val="24"/>
          <w:szCs w:val="24"/>
          <w:shd w:fill="auto" w:val="clear"/>
          <w:lang w:val="ru-RU" w:eastAsia="zh-CN" w:bidi="ar-SA"/>
        </w:rPr>
        <w:t>Раздел 1.5.Сведения об особенностях участия субъектов малого и среднего предпринимательства.</w:t>
      </w:r>
    </w:p>
    <w:p>
      <w:pPr>
        <w:pStyle w:val="ListNumber2"/>
        <w:numPr>
          <w:ilvl w:val="0"/>
          <w:numId w:val="0"/>
        </w:numPr>
        <w:tabs>
          <w:tab w:val="clear" w:pos="708"/>
          <w:tab w:val="left" w:pos="993" w:leader="none"/>
        </w:tabs>
        <w:ind w:left="0" w:right="0" w:firstLine="709"/>
        <w:rPr>
          <w:rFonts w:ascii="Times New Roman" w:hAnsi="Times New Roman" w:eastAsia="Times New Roman" w:cs="Times New Roman"/>
          <w:b w:val="false"/>
          <w:bCs w:val="false"/>
          <w:color w:val="auto"/>
          <w:kern w:val="0"/>
          <w:sz w:val="24"/>
          <w:szCs w:val="24"/>
          <w:highlight w:val="none"/>
          <w:shd w:fill="auto" w:val="clear"/>
          <w:lang w:val="ru-RU" w:eastAsia="zh-CN" w:bidi="ar-SA"/>
        </w:rPr>
      </w:pPr>
      <w:r>
        <w:rPr>
          <w:rFonts w:eastAsia="Times New Roman" w:cs="Times New Roman"/>
          <w:b w:val="false"/>
          <w:bCs w:val="false"/>
          <w:color w:val="000000"/>
          <w:kern w:val="0"/>
          <w:sz w:val="24"/>
          <w:szCs w:val="24"/>
          <w:shd w:fill="auto" w:val="clear"/>
          <w:lang w:val="ru-RU" w:eastAsia="zh-CN" w:bidi="ar-SA"/>
        </w:rPr>
        <w:t>Не установлено.</w:t>
      </w:r>
    </w:p>
    <w:p>
      <w:pPr>
        <w:pStyle w:val="ListNumber2"/>
        <w:numPr>
          <w:ilvl w:val="0"/>
          <w:numId w:val="0"/>
        </w:numPr>
        <w:tabs>
          <w:tab w:val="clear" w:pos="708"/>
          <w:tab w:val="left" w:pos="993" w:leader="none"/>
        </w:tabs>
        <w:ind w:left="0" w:right="0" w:firstLine="709"/>
        <w:rPr>
          <w:rFonts w:ascii="Times New Roman" w:hAnsi="Times New Roman" w:eastAsia="Times New Roman" w:cs="Times New Roman"/>
          <w:b/>
          <w:color w:val="auto"/>
          <w:kern w:val="0"/>
          <w:sz w:val="24"/>
          <w:szCs w:val="24"/>
          <w:highlight w:val="none"/>
          <w:shd w:fill="auto" w:val="clear"/>
          <w:lang w:val="ru-RU" w:eastAsia="zh-CN" w:bidi="ar-SA"/>
        </w:rPr>
      </w:pPr>
      <w:r>
        <w:rPr>
          <w:rFonts w:eastAsia="Times New Roman" w:cs="Times New Roman"/>
          <w:b/>
          <w:color w:val="000000"/>
          <w:kern w:val="0"/>
          <w:sz w:val="24"/>
          <w:szCs w:val="24"/>
          <w:shd w:fill="auto" w:val="clear"/>
          <w:lang w:val="ru-RU" w:eastAsia="zh-CN" w:bidi="ar-SA"/>
        </w:rPr>
      </w:r>
    </w:p>
    <w:p>
      <w:pPr>
        <w:pStyle w:val="Style37"/>
        <w:numPr>
          <w:ilvl w:val="0"/>
          <w:numId w:val="0"/>
        </w:numPr>
        <w:ind w:left="993" w:right="0" w:hanging="0"/>
        <w:jc w:val="center"/>
        <w:rPr/>
      </w:pPr>
      <w:r>
        <w:rPr>
          <w:shd w:fill="auto" w:val="clear"/>
        </w:rPr>
        <w:t>Раздел 1.6. Наименование, характеристики и количество поставляемых товаров, требования к безопасности, качеству, товара, отгрузке товара, к результатам работы и иные показатели, связанные с определением соответствия поставляемого товара потребностям Заказчика.</w:t>
      </w:r>
    </w:p>
    <w:p>
      <w:pPr>
        <w:pStyle w:val="ListNumber2"/>
        <w:numPr>
          <w:ilvl w:val="0"/>
          <w:numId w:val="0"/>
        </w:numPr>
        <w:tabs>
          <w:tab w:val="clear" w:pos="708"/>
          <w:tab w:val="left" w:pos="993" w:leader="none"/>
        </w:tabs>
        <w:ind w:left="0" w:right="0" w:hanging="0"/>
        <w:rPr>
          <w:highlight w:val="none"/>
          <w:shd w:fill="auto" w:val="clear"/>
        </w:rPr>
      </w:pPr>
      <w:r>
        <w:rPr>
          <w:shd w:fill="auto" w:val="clear"/>
        </w:rPr>
        <w:t xml:space="preserve">         </w:t>
      </w:r>
      <w:r>
        <w:rPr>
          <w:shd w:fill="auto" w:val="clear"/>
        </w:rPr>
        <w:t>Наименование, характеристики и количество поставляемых товаров, объем выполняемых работ, требования к отгрузке товара, и иные показатели, связанные с определением соответствия поставляемого товара потребностям Заказчика устанавливаются Заказчиком в Технических требованиях к документации об аукционе.</w:t>
      </w:r>
    </w:p>
    <w:p>
      <w:pPr>
        <w:pStyle w:val="ListNumber2"/>
        <w:numPr>
          <w:ilvl w:val="0"/>
          <w:numId w:val="0"/>
        </w:numPr>
        <w:tabs>
          <w:tab w:val="clear" w:pos="708"/>
          <w:tab w:val="left" w:pos="630" w:leader="none"/>
        </w:tabs>
        <w:ind w:left="0" w:right="0" w:hanging="0"/>
        <w:rPr>
          <w:highlight w:val="none"/>
          <w:shd w:fill="auto" w:val="clear"/>
        </w:rPr>
      </w:pPr>
      <w:r>
        <w:rPr>
          <w:shd w:fill="auto" w:val="clear"/>
        </w:rPr>
        <w:tab/>
        <w:t>Качество Товара должно соответствовать государственным стандартам (ГОСТ), техническим условиям (ТУ), требованиям завода-изготовителя и иной нормативно-технической документации на данный вид Товаров и подтверждаться документами качества, необходимыми по действующему законодательству.</w:t>
      </w:r>
    </w:p>
    <w:p>
      <w:pPr>
        <w:pStyle w:val="ListNumber2"/>
        <w:numPr>
          <w:ilvl w:val="0"/>
          <w:numId w:val="0"/>
        </w:numPr>
        <w:tabs>
          <w:tab w:val="clear" w:pos="708"/>
          <w:tab w:val="left" w:pos="993" w:leader="none"/>
        </w:tabs>
        <w:ind w:left="0" w:right="0" w:hanging="0"/>
        <w:rPr>
          <w:highlight w:val="none"/>
          <w:shd w:fill="auto" w:val="clear"/>
        </w:rPr>
      </w:pPr>
      <w:r>
        <w:rPr>
          <w:shd w:fill="auto" w:val="clear"/>
        </w:rPr>
        <w:t xml:space="preserve">         </w:t>
      </w:r>
      <w:r>
        <w:rPr>
          <w:shd w:fill="auto" w:val="clear"/>
        </w:rPr>
        <w:t xml:space="preserve">Вся сопроводительная документация о поставляемом товаре должна иметь информацию на русском языке. </w:t>
      </w:r>
    </w:p>
    <w:p>
      <w:pPr>
        <w:pStyle w:val="ListNumber2"/>
        <w:numPr>
          <w:ilvl w:val="0"/>
          <w:numId w:val="0"/>
        </w:numPr>
        <w:ind w:left="0" w:right="0" w:hanging="0"/>
        <w:rPr>
          <w:highlight w:val="none"/>
          <w:shd w:fill="auto" w:val="clear"/>
        </w:rPr>
      </w:pPr>
      <w:r>
        <w:rPr>
          <w:shd w:fill="auto" w:val="clear"/>
        </w:rPr>
        <w:tab/>
        <w:t>Товар должен транспортироваться с соблюдением условий, предусмотренных нормативно-технической документацией и Инструкцией по эксплуатации.</w:t>
      </w:r>
    </w:p>
    <w:p>
      <w:pPr>
        <w:pStyle w:val="ListNumber2"/>
        <w:numPr>
          <w:ilvl w:val="0"/>
          <w:numId w:val="0"/>
        </w:numPr>
        <w:tabs>
          <w:tab w:val="clear" w:pos="708"/>
          <w:tab w:val="left" w:pos="993" w:leader="none"/>
        </w:tabs>
        <w:ind w:left="0" w:right="0" w:hanging="0"/>
        <w:rPr>
          <w:highlight w:val="none"/>
          <w:shd w:fill="auto" w:val="clear"/>
        </w:rPr>
      </w:pPr>
      <w:r>
        <w:rPr>
          <w:shd w:fill="auto" w:val="clear"/>
        </w:rPr>
        <w:t xml:space="preserve">           </w:t>
      </w:r>
      <w:r>
        <w:rPr>
          <w:shd w:fill="auto" w:val="clear"/>
        </w:rPr>
        <w:t>При нарушении указанных выше условий Заказчик имеет право требовать замены товара, поставленного с нарушениями.</w:t>
      </w:r>
    </w:p>
    <w:p>
      <w:pPr>
        <w:pStyle w:val="ListNumber2"/>
        <w:numPr>
          <w:ilvl w:val="0"/>
          <w:numId w:val="0"/>
        </w:numPr>
        <w:ind w:left="0" w:right="0" w:firstLine="709"/>
        <w:rPr/>
      </w:pPr>
      <w:r>
        <w:rPr/>
      </w:r>
    </w:p>
    <w:p>
      <w:pPr>
        <w:pStyle w:val="Style37"/>
        <w:numPr>
          <w:ilvl w:val="0"/>
          <w:numId w:val="0"/>
        </w:numPr>
        <w:ind w:left="993" w:right="0" w:hanging="0"/>
        <w:jc w:val="center"/>
        <w:rPr/>
      </w:pPr>
      <w:r>
        <w:rPr/>
        <w:t xml:space="preserve">Раздел 1.7. </w:t>
      </w:r>
      <w:r>
        <w:rPr>
          <w:color w:val="000000"/>
          <w:lang w:eastAsia="ar-SA"/>
        </w:rPr>
        <w:t xml:space="preserve">Требования </w:t>
      </w:r>
      <w:r>
        <w:rPr/>
        <w:t>к участникам закупки.</w:t>
      </w:r>
    </w:p>
    <w:p>
      <w:pPr>
        <w:pStyle w:val="ListNumber2"/>
        <w:widowControl/>
        <w:numPr>
          <w:ilvl w:val="0"/>
          <w:numId w:val="0"/>
        </w:numPr>
        <w:tabs>
          <w:tab w:val="clear" w:pos="708"/>
          <w:tab w:val="left" w:pos="993" w:leader="none"/>
        </w:tabs>
        <w:suppressAutoHyphens w:val="true"/>
        <w:bidi w:val="0"/>
        <w:spacing w:before="0" w:after="0"/>
        <w:ind w:left="0" w:right="0" w:hanging="0"/>
        <w:contextualSpacing/>
        <w:jc w:val="both"/>
        <w:rPr/>
      </w:pPr>
      <w:r>
        <w:rPr>
          <w:rFonts w:eastAsia="Times New Roman" w:cs="Times New Roman"/>
          <w:color w:val="auto"/>
          <w:kern w:val="0"/>
          <w:sz w:val="24"/>
          <w:szCs w:val="24"/>
          <w:lang w:val="ru-RU" w:eastAsia="zh-CN" w:bidi="ar-SA"/>
        </w:rPr>
        <w:t>Участник процедуры закупки должен соответствовать следующим обязательным требованиям:</w:t>
      </w:r>
    </w:p>
    <w:p>
      <w:pPr>
        <w:pStyle w:val="ListNumber2"/>
        <w:numPr>
          <w:ilvl w:val="0"/>
          <w:numId w:val="0"/>
        </w:numPr>
        <w:tabs>
          <w:tab w:val="clear" w:pos="708"/>
          <w:tab w:val="left" w:pos="993" w:leader="none"/>
        </w:tabs>
        <w:ind w:left="709" w:right="0" w:hanging="0"/>
        <w:rPr/>
      </w:pPr>
      <w:r>
        <w:rPr/>
      </w:r>
    </w:p>
    <w:p>
      <w:pPr>
        <w:pStyle w:val="ListNumber3"/>
        <w:numPr>
          <w:ilvl w:val="0"/>
          <w:numId w:val="0"/>
        </w:numPr>
        <w:tabs>
          <w:tab w:val="clear" w:pos="708"/>
          <w:tab w:val="left" w:pos="993" w:leader="none"/>
        </w:tabs>
        <w:ind w:left="0" w:right="0" w:hanging="0"/>
        <w:rPr/>
      </w:pPr>
      <w:r>
        <w:rPr/>
        <w:t xml:space="preserve">   </w:t>
      </w:r>
      <w:r>
        <w:rPr/>
        <w:t xml:space="preserve">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являющихся предметом аукциона.  </w:t>
      </w:r>
    </w:p>
    <w:p>
      <w:pPr>
        <w:pStyle w:val="ListNumber3"/>
        <w:numPr>
          <w:ilvl w:val="0"/>
          <w:numId w:val="0"/>
        </w:numPr>
        <w:tabs>
          <w:tab w:val="clear" w:pos="708"/>
          <w:tab w:val="left" w:pos="993" w:leader="none"/>
        </w:tabs>
        <w:ind w:left="0" w:right="0" w:hanging="0"/>
        <w:rPr/>
      </w:pPr>
      <w:r>
        <w:rPr/>
        <w:t xml:space="preserve">     </w:t>
      </w:r>
      <w:r>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физического лица банкротом и об открытии конкурсного производства;</w:t>
      </w:r>
    </w:p>
    <w:p>
      <w:pPr>
        <w:pStyle w:val="ListNumber3"/>
        <w:numPr>
          <w:ilvl w:val="0"/>
          <w:numId w:val="0"/>
        </w:numPr>
        <w:tabs>
          <w:tab w:val="clear" w:pos="708"/>
          <w:tab w:val="left" w:pos="993" w:leader="none"/>
        </w:tabs>
        <w:ind w:left="0" w:right="0" w:hanging="0"/>
        <w:rPr/>
      </w:pPr>
      <w:r>
        <w:rPr/>
        <w:t xml:space="preserve">    </w:t>
      </w:r>
      <w:r>
        <w:rPr/>
        <w:t>3)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аукционе в электронной форме;</w:t>
      </w:r>
    </w:p>
    <w:p>
      <w:pPr>
        <w:pStyle w:val="ListNumber3"/>
        <w:numPr>
          <w:ilvl w:val="0"/>
          <w:numId w:val="0"/>
        </w:numPr>
        <w:tabs>
          <w:tab w:val="clear" w:pos="708"/>
          <w:tab w:val="left" w:pos="993" w:leader="none"/>
        </w:tabs>
        <w:ind w:left="0" w:right="0" w:hanging="0"/>
        <w:rPr/>
      </w:pPr>
      <w:r>
        <w:rPr/>
        <w:t xml:space="preserve">        </w:t>
      </w:r>
      <w:r>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pPr>
        <w:pStyle w:val="ListNumber3"/>
        <w:numPr>
          <w:ilvl w:val="0"/>
          <w:numId w:val="0"/>
        </w:numPr>
        <w:tabs>
          <w:tab w:val="clear" w:pos="708"/>
          <w:tab w:val="left" w:pos="993" w:leader="none"/>
        </w:tabs>
        <w:ind w:left="0" w:right="0" w:hanging="0"/>
        <w:rPr>
          <w:highlight w:val="white"/>
        </w:rPr>
      </w:pPr>
      <w:r>
        <w:rPr>
          <w:highlight w:val="white"/>
        </w:rPr>
        <w:t xml:space="preserve">         </w:t>
      </w:r>
      <w:r>
        <w:rPr>
          <w:highlight w:val="white"/>
        </w:rPr>
        <w:t>5)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pPr>
        <w:pStyle w:val="ListNumber3"/>
        <w:numPr>
          <w:ilvl w:val="0"/>
          <w:numId w:val="0"/>
        </w:numPr>
        <w:tabs>
          <w:tab w:val="clear" w:pos="708"/>
          <w:tab w:val="left" w:pos="993" w:leader="none"/>
        </w:tabs>
        <w:ind w:left="0" w:right="0" w:hanging="0"/>
        <w:rPr>
          <w:color w:val="000000"/>
          <w:highlight w:val="white"/>
        </w:rPr>
      </w:pPr>
      <w:r>
        <w:rPr>
          <w:highlight w:val="white"/>
        </w:rPr>
        <w:t xml:space="preserve">        </w:t>
      </w:r>
      <w:r>
        <w:rPr>
          <w:highlight w:val="white"/>
        </w:rPr>
        <w:t xml:space="preserve">6) отсутствие сведений об участнике закупки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w:t>
      </w:r>
      <w:r>
        <w:rPr>
          <w:color w:val="000000"/>
          <w:highlight w:val="white"/>
        </w:rPr>
        <w:t>муниципальных нужд»;</w:t>
      </w:r>
    </w:p>
    <w:p>
      <w:pPr>
        <w:pStyle w:val="ListParagraph"/>
        <w:tabs>
          <w:tab w:val="clear" w:pos="708"/>
          <w:tab w:val="left" w:pos="630" w:leader="none"/>
        </w:tabs>
        <w:spacing w:lineRule="auto" w:line="240" w:before="0" w:after="0"/>
        <w:ind w:left="0" w:right="0" w:hanging="0"/>
        <w:contextualSpacing/>
        <w:rPr>
          <w:rFonts w:ascii="Times New Roman" w:hAnsi="Times New Roman" w:eastAsia="Times New Roman" w:cs="Times New Roman"/>
          <w:color w:val="000000"/>
          <w:sz w:val="24"/>
          <w:szCs w:val="24"/>
          <w:lang w:val="ru-RU" w:eastAsia="ar-SA"/>
        </w:rPr>
      </w:pPr>
      <w:r>
        <w:rPr>
          <w:rFonts w:eastAsia="Times New Roman" w:cs="Times New Roman" w:ascii="Times New Roman" w:hAnsi="Times New Roman"/>
          <w:color w:val="000000"/>
          <w:sz w:val="24"/>
          <w:szCs w:val="24"/>
          <w:lang w:val="ru-RU" w:eastAsia="ar-SA"/>
        </w:rPr>
        <w:tab/>
        <w:t xml:space="preserve">7) </w:t>
      </w:r>
      <w:r>
        <w:rPr>
          <w:rFonts w:eastAsia="Times New Roman" w:cs="Times New Roman" w:ascii="Times New Roman" w:hAnsi="Times New Roman"/>
          <w:color w:val="auto"/>
          <w:kern w:val="0"/>
          <w:sz w:val="24"/>
          <w:szCs w:val="24"/>
          <w:highlight w:val="white"/>
          <w:lang w:val="ru-RU" w:eastAsia="zh-CN" w:bidi="ar-SA"/>
        </w:rPr>
        <w:t>обладание участником закупки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проведения закупок на создание произведения литературы или искусства (за исключением программ для ЭВМ, баз данных), исполнения, на финансирование проката или показа национального фильма.</w:t>
      </w:r>
    </w:p>
    <w:p>
      <w:pPr>
        <w:pStyle w:val="ListNumber2"/>
        <w:numPr>
          <w:ilvl w:val="0"/>
          <w:numId w:val="0"/>
        </w:numPr>
        <w:tabs>
          <w:tab w:val="clear" w:pos="708"/>
          <w:tab w:val="left" w:pos="993" w:leader="none"/>
        </w:tabs>
        <w:ind w:left="0" w:right="0" w:hanging="0"/>
        <w:rPr>
          <w:highlight w:val="yellow"/>
        </w:rPr>
      </w:pPr>
      <w:r>
        <w:rPr>
          <w:highlight w:val="yellow"/>
        </w:rPr>
      </w:r>
    </w:p>
    <w:p>
      <w:pPr>
        <w:pStyle w:val="ListNumber2"/>
        <w:numPr>
          <w:ilvl w:val="0"/>
          <w:numId w:val="0"/>
        </w:numPr>
        <w:tabs>
          <w:tab w:val="clear" w:pos="708"/>
          <w:tab w:val="left" w:pos="993" w:leader="none"/>
        </w:tabs>
        <w:ind w:left="0" w:right="0" w:firstLine="709"/>
        <w:rPr>
          <w:color w:val="C5E0B3"/>
        </w:rPr>
      </w:pPr>
      <w:r>
        <w:rPr>
          <w:color w:val="C5E0B3"/>
        </w:rPr>
      </w:r>
    </w:p>
    <w:p>
      <w:pPr>
        <w:pStyle w:val="Normal"/>
        <w:ind w:left="0" w:right="0" w:firstLine="709"/>
        <w:jc w:val="center"/>
        <w:rPr>
          <w:b/>
          <w:color w:val="000000"/>
          <w:lang w:eastAsia="ar-SA"/>
        </w:rPr>
      </w:pPr>
      <w:r>
        <w:rPr>
          <w:b/>
          <w:color w:val="000000"/>
          <w:lang w:eastAsia="ar-SA"/>
        </w:rPr>
      </w:r>
    </w:p>
    <w:p>
      <w:pPr>
        <w:pStyle w:val="Style37"/>
        <w:numPr>
          <w:ilvl w:val="0"/>
          <w:numId w:val="0"/>
        </w:numPr>
        <w:ind w:left="0" w:right="0" w:firstLine="709"/>
        <w:jc w:val="center"/>
        <w:rPr/>
      </w:pPr>
      <w:r>
        <w:rPr/>
        <w:t>Раздел 1.8. Требования к содержанию, форме, оформлению и составу заявки на участие в аукционе.</w:t>
      </w:r>
    </w:p>
    <w:p>
      <w:pPr>
        <w:pStyle w:val="Style37"/>
        <w:numPr>
          <w:ilvl w:val="0"/>
          <w:numId w:val="0"/>
        </w:numPr>
        <w:ind w:left="0" w:right="0" w:hanging="0"/>
        <w:rPr/>
      </w:pPr>
      <w:r>
        <w:rPr/>
      </w:r>
    </w:p>
    <w:p>
      <w:pPr>
        <w:pStyle w:val="Normal"/>
        <w:spacing w:lineRule="auto" w:line="240" w:before="0" w:after="0"/>
        <w:ind w:left="0" w:right="0" w:firstLine="567"/>
        <w:contextualSpacing/>
        <w:jc w:val="both"/>
        <w:rPr>
          <w:rFonts w:ascii="Times New Roman" w:hAnsi="Times New Roman" w:eastAsia="Times New Roman" w:cs="Times New Roman"/>
          <w:bCs/>
          <w:color w:val="000000"/>
          <w:kern w:val="0"/>
          <w:sz w:val="24"/>
          <w:szCs w:val="24"/>
          <w:lang w:val="ru-RU" w:eastAsia="zh-CN" w:bidi="ar-SA"/>
        </w:rPr>
      </w:pPr>
      <w:r>
        <w:rPr>
          <w:rFonts w:eastAsia="Times New Roman" w:cs="Times New Roman"/>
          <w:bCs/>
          <w:color w:val="000000"/>
          <w:kern w:val="0"/>
          <w:sz w:val="24"/>
          <w:szCs w:val="24"/>
          <w:lang w:val="ru-RU" w:eastAsia="zh-CN" w:bidi="ar-SA"/>
        </w:rPr>
        <w:t>Заявка на участие в аукционе подается в форме электронного документа.</w:t>
      </w:r>
    </w:p>
    <w:p>
      <w:pPr>
        <w:pStyle w:val="Normal"/>
        <w:suppressAutoHyphens w:val="false"/>
        <w:spacing w:lineRule="auto" w:line="240" w:before="0" w:after="0"/>
        <w:ind w:left="0" w:right="0" w:firstLine="567"/>
        <w:jc w:val="both"/>
        <w:rPr>
          <w:rFonts w:ascii="Times New Roman" w:hAnsi="Times New Roman" w:eastAsia="Times New Roman" w:cs="Times New Roman"/>
          <w:bCs/>
          <w:color w:val="000000"/>
          <w:kern w:val="0"/>
          <w:sz w:val="24"/>
          <w:szCs w:val="24"/>
          <w:lang w:val="ru-RU" w:eastAsia="zh-CN" w:bidi="ar-SA"/>
        </w:rPr>
      </w:pPr>
      <w:r>
        <w:rPr>
          <w:rFonts w:eastAsia="Times New Roman" w:cs="Times New Roman"/>
          <w:bCs/>
          <w:color w:val="000000"/>
          <w:kern w:val="0"/>
          <w:sz w:val="24"/>
          <w:szCs w:val="24"/>
          <w:lang w:val="ru-RU" w:eastAsia="zh-CN" w:bidi="ar-SA"/>
        </w:rPr>
        <w:t>Заявка на участие в аукционе состоит из двух частей. Данная заявка подается участником единовременно в форме двух частей, каждая из которых должна быть подписана электронной подписью лица, имеющего право действовать от имени участника в соответствии с Регламентом площадки.</w:t>
      </w:r>
    </w:p>
    <w:p>
      <w:pPr>
        <w:pStyle w:val="ListNumber2"/>
        <w:numPr>
          <w:ilvl w:val="0"/>
          <w:numId w:val="0"/>
        </w:numPr>
        <w:ind w:left="0" w:right="0" w:firstLine="709"/>
        <w:rPr/>
      </w:pPr>
      <w:r>
        <w:rPr>
          <w:b/>
          <w:bCs/>
        </w:rPr>
        <w:t>Первая часть заявки должна содержать следующую информацию:</w:t>
      </w:r>
    </w:p>
    <w:p>
      <w:pPr>
        <w:pStyle w:val="ListNumber3"/>
        <w:numPr>
          <w:ilvl w:val="0"/>
          <w:numId w:val="0"/>
        </w:numPr>
        <w:ind w:left="0" w:right="0" w:firstLine="709"/>
        <w:rPr>
          <w:b/>
        </w:rPr>
      </w:pPr>
      <w:r>
        <w:rPr/>
        <w:t xml:space="preserve">Описание поставляемого товара, который является предметом аукциона по следующей форме. Описание поставляемого товара, который является предметом закупки в соответствии с требованиями документации,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w:t>
      </w:r>
    </w:p>
    <w:p>
      <w:pPr>
        <w:pStyle w:val="ListNumber3"/>
        <w:numPr>
          <w:ilvl w:val="0"/>
          <w:numId w:val="0"/>
        </w:numPr>
        <w:ind w:left="0" w:right="0" w:firstLine="709"/>
        <w:rPr/>
      </w:pPr>
      <w:r>
        <w:rPr>
          <w:b/>
        </w:rPr>
        <w:t>ВАЖНО!</w:t>
      </w:r>
      <w:r>
        <w:rPr/>
        <w:t xml:space="preserve"> При этом </w:t>
      </w:r>
      <w:r>
        <w:rPr>
          <w:b/>
          <w:bCs/>
        </w:rPr>
        <w:t>не допускается</w:t>
      </w:r>
      <w:r>
        <w:rPr/>
        <w:t xml:space="preserve"> указание в первой части заявки на участие в аукционе сведений об участнике аукциона и о его соответствии единым квалификационным требованиям, установленным в документации об аукционе, и (или) о ценовом предложении.</w:t>
      </w:r>
    </w:p>
    <w:p>
      <w:pPr>
        <w:pStyle w:val="ListNumber3"/>
        <w:numPr>
          <w:ilvl w:val="0"/>
          <w:numId w:val="0"/>
        </w:numPr>
        <w:ind w:left="0" w:right="0" w:firstLine="709"/>
        <w:rPr/>
      </w:pPr>
      <w:r>
        <w:rPr/>
      </w:r>
    </w:p>
    <w:p>
      <w:pPr>
        <w:pStyle w:val="ListNumber3"/>
        <w:numPr>
          <w:ilvl w:val="0"/>
          <w:numId w:val="0"/>
        </w:numPr>
        <w:ind w:left="0" w:right="0" w:firstLine="710"/>
        <w:jc w:val="left"/>
        <w:rPr>
          <w:sz w:val="20"/>
          <w:szCs w:val="20"/>
        </w:rPr>
      </w:pPr>
      <w:r>
        <w:rPr/>
        <w:t>Форма «Описание поставляемого товара»</w:t>
      </w:r>
    </w:p>
    <w:tbl>
      <w:tblPr>
        <w:tblW w:w="9885" w:type="dxa"/>
        <w:jc w:val="left"/>
        <w:tblInd w:w="93" w:type="dxa"/>
        <w:tblLayout w:type="fixed"/>
        <w:tblCellMar>
          <w:top w:w="0" w:type="dxa"/>
          <w:left w:w="57" w:type="dxa"/>
          <w:bottom w:w="0" w:type="dxa"/>
          <w:right w:w="57" w:type="dxa"/>
        </w:tblCellMar>
        <w:tblLook w:noVBand="1" w:val="04a0" w:noHBand="0" w:lastColumn="0" w:firstColumn="1" w:lastRow="0" w:firstRow="1"/>
      </w:tblPr>
      <w:tblGrid>
        <w:gridCol w:w="2295"/>
        <w:gridCol w:w="1499"/>
        <w:gridCol w:w="1710"/>
        <w:gridCol w:w="1815"/>
        <w:gridCol w:w="1248"/>
        <w:gridCol w:w="1317"/>
      </w:tblGrid>
      <w:tr>
        <w:trPr>
          <w:cantSplit w:val="true"/>
        </w:trPr>
        <w:tc>
          <w:tcPr>
            <w:tcW w:w="2295" w:type="dxa"/>
            <w:tcBorders>
              <w:top w:val="single" w:sz="4" w:space="0" w:color="000000"/>
              <w:left w:val="single" w:sz="4" w:space="0" w:color="000000"/>
              <w:bottom w:val="single" w:sz="4" w:space="0" w:color="000000"/>
              <w:right w:val="single" w:sz="4" w:space="0" w:color="000000"/>
            </w:tcBorders>
          </w:tcPr>
          <w:p>
            <w:pPr>
              <w:pStyle w:val="Normal"/>
              <w:widowControl w:val="false"/>
              <w:ind w:left="0" w:right="0" w:hanging="0"/>
              <w:rPr>
                <w:rFonts w:ascii="Times New Roman" w:hAnsi="Times New Roman" w:eastAsia="Times New Roman" w:cs="Times New Roman"/>
                <w:color w:val="auto"/>
                <w:kern w:val="0"/>
                <w:sz w:val="24"/>
                <w:szCs w:val="24"/>
                <w:lang w:val="ru-RU" w:eastAsia="zh-CN" w:bidi="ar-SA"/>
              </w:rPr>
            </w:pPr>
            <w:r>
              <w:rPr>
                <w:rFonts w:eastAsia="Times New Roman" w:cs="Times New Roman"/>
                <w:color w:val="auto"/>
                <w:kern w:val="0"/>
                <w:sz w:val="24"/>
                <w:szCs w:val="24"/>
                <w:lang w:val="ru-RU" w:eastAsia="zh-CN" w:bidi="ar-SA"/>
              </w:rPr>
              <w:t>Наименование товара</w:t>
            </w:r>
          </w:p>
          <w:p>
            <w:pPr>
              <w:pStyle w:val="Normal"/>
              <w:widowControl w:val="false"/>
              <w:ind w:left="0" w:right="0" w:hanging="0"/>
              <w:rPr>
                <w:rFonts w:ascii="Times New Roman" w:hAnsi="Times New Roman" w:eastAsia="Times New Roman" w:cs="Times New Roman"/>
                <w:color w:val="auto"/>
                <w:kern w:val="0"/>
                <w:sz w:val="24"/>
                <w:szCs w:val="24"/>
                <w:lang w:val="ru-RU" w:eastAsia="zh-CN" w:bidi="ar-SA"/>
              </w:rPr>
            </w:pPr>
            <w:r>
              <w:rPr>
                <w:rFonts w:eastAsia="Times New Roman" w:cs="Times New Roman"/>
                <w:color w:val="auto"/>
                <w:kern w:val="0"/>
                <w:sz w:val="24"/>
                <w:szCs w:val="24"/>
                <w:lang w:val="ru-RU" w:eastAsia="zh-CN" w:bidi="ar-SA"/>
              </w:rPr>
              <w:t>(торговая марка)</w:t>
            </w:r>
          </w:p>
        </w:tc>
        <w:tc>
          <w:tcPr>
            <w:tcW w:w="1499" w:type="dxa"/>
            <w:tcBorders>
              <w:top w:val="single" w:sz="4" w:space="0" w:color="000000"/>
              <w:left w:val="single" w:sz="4" w:space="0" w:color="000000"/>
              <w:bottom w:val="single" w:sz="4" w:space="0" w:color="000000"/>
              <w:right w:val="single" w:sz="4" w:space="0" w:color="000000"/>
            </w:tcBorders>
          </w:tcPr>
          <w:p>
            <w:pPr>
              <w:pStyle w:val="Normal"/>
              <w:widowControl w:val="false"/>
              <w:ind w:left="0" w:right="0" w:hanging="0"/>
              <w:rPr>
                <w:rFonts w:ascii="Times New Roman" w:hAnsi="Times New Roman" w:eastAsia="Times New Roman" w:cs="Times New Roman"/>
                <w:color w:val="auto"/>
                <w:kern w:val="0"/>
                <w:sz w:val="24"/>
                <w:szCs w:val="24"/>
                <w:lang w:val="ru-RU" w:eastAsia="zh-CN" w:bidi="ar-SA"/>
              </w:rPr>
            </w:pPr>
            <w:r>
              <w:rPr>
                <w:rFonts w:eastAsia="Times New Roman" w:cs="Times New Roman"/>
                <w:color w:val="auto"/>
                <w:kern w:val="0"/>
                <w:sz w:val="24"/>
                <w:szCs w:val="24"/>
                <w:lang w:val="ru-RU" w:eastAsia="zh-CN" w:bidi="ar-SA"/>
              </w:rPr>
              <w:t>Технические параметры</w:t>
            </w:r>
          </w:p>
        </w:tc>
        <w:tc>
          <w:tcPr>
            <w:tcW w:w="1710" w:type="dxa"/>
            <w:tcBorders>
              <w:top w:val="single" w:sz="4" w:space="0" w:color="000000"/>
              <w:left w:val="single" w:sz="4" w:space="0" w:color="000000"/>
              <w:bottom w:val="single" w:sz="4" w:space="0" w:color="000000"/>
              <w:right w:val="single" w:sz="4" w:space="0" w:color="000000"/>
            </w:tcBorders>
          </w:tcPr>
          <w:p>
            <w:pPr>
              <w:pStyle w:val="Normal"/>
              <w:widowControl w:val="false"/>
              <w:ind w:left="0" w:right="0" w:hanging="0"/>
              <w:rPr>
                <w:rFonts w:ascii="Times New Roman" w:hAnsi="Times New Roman" w:eastAsia="Times New Roman" w:cs="Times New Roman"/>
                <w:color w:val="auto"/>
                <w:kern w:val="0"/>
                <w:sz w:val="24"/>
                <w:szCs w:val="24"/>
                <w:lang w:val="ru-RU" w:eastAsia="zh-CN" w:bidi="ar-SA"/>
              </w:rPr>
            </w:pPr>
            <w:r>
              <w:rPr>
                <w:rFonts w:eastAsia="Times New Roman" w:cs="Times New Roman"/>
                <w:color w:val="auto"/>
                <w:kern w:val="0"/>
                <w:sz w:val="24"/>
                <w:szCs w:val="24"/>
                <w:lang w:val="ru-RU" w:eastAsia="zh-CN" w:bidi="ar-SA"/>
              </w:rPr>
              <w:t>Производитель</w:t>
            </w:r>
          </w:p>
        </w:tc>
        <w:tc>
          <w:tcPr>
            <w:tcW w:w="1815" w:type="dxa"/>
            <w:tcBorders>
              <w:top w:val="single" w:sz="4" w:space="0" w:color="000000"/>
              <w:left w:val="single" w:sz="4" w:space="0" w:color="000000"/>
              <w:bottom w:val="single" w:sz="4" w:space="0" w:color="000000"/>
              <w:right w:val="single" w:sz="4" w:space="0" w:color="000000"/>
            </w:tcBorders>
          </w:tcPr>
          <w:p>
            <w:pPr>
              <w:pStyle w:val="Normal"/>
              <w:widowControl w:val="false"/>
              <w:ind w:left="0" w:right="0" w:hanging="0"/>
              <w:rPr>
                <w:rFonts w:ascii="Times New Roman" w:hAnsi="Times New Roman" w:eastAsia="Times New Roman" w:cs="Times New Roman"/>
                <w:color w:val="auto"/>
                <w:kern w:val="0"/>
                <w:sz w:val="24"/>
                <w:szCs w:val="24"/>
                <w:lang w:val="ru-RU" w:eastAsia="zh-CN" w:bidi="ar-SA"/>
              </w:rPr>
            </w:pPr>
            <w:r>
              <w:rPr>
                <w:rFonts w:eastAsia="Times New Roman" w:cs="Times New Roman"/>
                <w:color w:val="auto"/>
                <w:kern w:val="0"/>
                <w:sz w:val="24"/>
                <w:szCs w:val="24"/>
                <w:lang w:val="ru-RU" w:eastAsia="zh-CN" w:bidi="ar-SA"/>
              </w:rPr>
              <w:t>Страна происхождения</w:t>
            </w:r>
          </w:p>
        </w:tc>
        <w:tc>
          <w:tcPr>
            <w:tcW w:w="1248" w:type="dxa"/>
            <w:tcBorders>
              <w:top w:val="single" w:sz="4" w:space="0" w:color="000000"/>
              <w:left w:val="single" w:sz="4" w:space="0" w:color="000000"/>
              <w:bottom w:val="single" w:sz="4" w:space="0" w:color="000000"/>
              <w:right w:val="single" w:sz="4" w:space="0" w:color="000000"/>
            </w:tcBorders>
          </w:tcPr>
          <w:p>
            <w:pPr>
              <w:pStyle w:val="Normal"/>
              <w:widowControl w:val="false"/>
              <w:ind w:left="0" w:right="0" w:hanging="0"/>
              <w:rPr>
                <w:rFonts w:ascii="Times New Roman" w:hAnsi="Times New Roman" w:eastAsia="Times New Roman" w:cs="Times New Roman"/>
                <w:color w:val="auto"/>
                <w:kern w:val="0"/>
                <w:sz w:val="24"/>
                <w:szCs w:val="24"/>
                <w:lang w:val="ru-RU" w:eastAsia="zh-CN" w:bidi="ar-SA"/>
              </w:rPr>
            </w:pPr>
            <w:r>
              <w:rPr>
                <w:rFonts w:eastAsia="Times New Roman" w:cs="Times New Roman"/>
                <w:color w:val="auto"/>
                <w:kern w:val="0"/>
                <w:sz w:val="24"/>
                <w:szCs w:val="24"/>
                <w:lang w:val="ru-RU" w:eastAsia="zh-CN" w:bidi="ar-SA"/>
              </w:rPr>
              <w:t>Ед. измерения</w:t>
            </w:r>
          </w:p>
        </w:tc>
        <w:tc>
          <w:tcPr>
            <w:tcW w:w="1317" w:type="dxa"/>
            <w:tcBorders>
              <w:top w:val="single" w:sz="4" w:space="0" w:color="000000"/>
              <w:left w:val="single" w:sz="4" w:space="0" w:color="000000"/>
              <w:bottom w:val="single" w:sz="4" w:space="0" w:color="000000"/>
              <w:right w:val="single" w:sz="4" w:space="0" w:color="000000"/>
            </w:tcBorders>
          </w:tcPr>
          <w:p>
            <w:pPr>
              <w:pStyle w:val="Normal"/>
              <w:widowControl w:val="false"/>
              <w:ind w:left="0" w:right="0" w:hanging="0"/>
              <w:rPr>
                <w:rFonts w:ascii="Times New Roman" w:hAnsi="Times New Roman" w:eastAsia="Times New Roman" w:cs="Times New Roman"/>
                <w:color w:val="auto"/>
                <w:kern w:val="0"/>
                <w:sz w:val="24"/>
                <w:szCs w:val="24"/>
                <w:lang w:val="ru-RU" w:eastAsia="zh-CN" w:bidi="ar-SA"/>
              </w:rPr>
            </w:pPr>
            <w:r>
              <w:rPr>
                <w:rFonts w:eastAsia="Times New Roman" w:cs="Times New Roman"/>
                <w:color w:val="auto"/>
                <w:kern w:val="0"/>
                <w:sz w:val="24"/>
                <w:szCs w:val="24"/>
                <w:lang w:val="ru-RU" w:eastAsia="zh-CN" w:bidi="ar-SA"/>
              </w:rPr>
              <w:t>Количество</w:t>
            </w:r>
          </w:p>
        </w:tc>
      </w:tr>
      <w:tr>
        <w:trPr>
          <w:trHeight w:val="467" w:hRule="atLeast"/>
          <w:cantSplit w:val="true"/>
        </w:trPr>
        <w:tc>
          <w:tcPr>
            <w:tcW w:w="2295" w:type="dxa"/>
            <w:tcBorders>
              <w:top w:val="single" w:sz="4" w:space="0" w:color="000000"/>
              <w:left w:val="single" w:sz="4" w:space="0" w:color="000000"/>
              <w:bottom w:val="single" w:sz="4" w:space="0" w:color="000000"/>
              <w:right w:val="single" w:sz="4" w:space="0" w:color="000000"/>
            </w:tcBorders>
          </w:tcPr>
          <w:p>
            <w:pPr>
              <w:pStyle w:val="Normal"/>
              <w:widowControl w:val="false"/>
              <w:ind w:left="0" w:right="0" w:firstLine="710"/>
              <w:rPr>
                <w:sz w:val="16"/>
                <w:szCs w:val="16"/>
              </w:rPr>
            </w:pPr>
            <w:r>
              <w:rPr>
                <w:sz w:val="16"/>
                <w:szCs w:val="16"/>
              </w:rPr>
            </w:r>
          </w:p>
        </w:tc>
        <w:tc>
          <w:tcPr>
            <w:tcW w:w="1499" w:type="dxa"/>
            <w:tcBorders>
              <w:top w:val="single" w:sz="4" w:space="0" w:color="000000"/>
              <w:left w:val="single" w:sz="4" w:space="0" w:color="000000"/>
              <w:bottom w:val="single" w:sz="4" w:space="0" w:color="000000"/>
              <w:right w:val="single" w:sz="4" w:space="0" w:color="000000"/>
            </w:tcBorders>
          </w:tcPr>
          <w:p>
            <w:pPr>
              <w:pStyle w:val="Normal"/>
              <w:widowControl w:val="false"/>
              <w:ind w:left="0" w:right="0" w:firstLine="710"/>
              <w:rPr>
                <w:sz w:val="16"/>
                <w:szCs w:val="16"/>
              </w:rPr>
            </w:pPr>
            <w:r>
              <w:rPr>
                <w:sz w:val="16"/>
                <w:szCs w:val="16"/>
              </w:rPr>
            </w:r>
          </w:p>
        </w:tc>
        <w:tc>
          <w:tcPr>
            <w:tcW w:w="1710" w:type="dxa"/>
            <w:tcBorders>
              <w:top w:val="single" w:sz="4" w:space="0" w:color="000000"/>
              <w:left w:val="single" w:sz="4" w:space="0" w:color="000000"/>
              <w:bottom w:val="single" w:sz="4" w:space="0" w:color="000000"/>
              <w:right w:val="single" w:sz="4" w:space="0" w:color="000000"/>
            </w:tcBorders>
          </w:tcPr>
          <w:p>
            <w:pPr>
              <w:pStyle w:val="Normal"/>
              <w:widowControl w:val="false"/>
              <w:ind w:left="0" w:right="0" w:firstLine="710"/>
              <w:rPr>
                <w:sz w:val="16"/>
                <w:szCs w:val="16"/>
              </w:rPr>
            </w:pPr>
            <w:r>
              <w:rPr>
                <w:sz w:val="16"/>
                <w:szCs w:val="16"/>
              </w:rPr>
            </w:r>
          </w:p>
        </w:tc>
        <w:tc>
          <w:tcPr>
            <w:tcW w:w="1815" w:type="dxa"/>
            <w:tcBorders>
              <w:top w:val="single" w:sz="4" w:space="0" w:color="000000"/>
              <w:left w:val="single" w:sz="4" w:space="0" w:color="000000"/>
              <w:bottom w:val="single" w:sz="4" w:space="0" w:color="000000"/>
              <w:right w:val="single" w:sz="4" w:space="0" w:color="000000"/>
            </w:tcBorders>
          </w:tcPr>
          <w:p>
            <w:pPr>
              <w:pStyle w:val="Normal"/>
              <w:widowControl w:val="false"/>
              <w:ind w:left="0" w:right="0" w:firstLine="710"/>
              <w:rPr>
                <w:sz w:val="16"/>
                <w:szCs w:val="16"/>
              </w:rPr>
            </w:pPr>
            <w:r>
              <w:rPr>
                <w:sz w:val="16"/>
                <w:szCs w:val="16"/>
              </w:rPr>
            </w:r>
          </w:p>
        </w:tc>
        <w:tc>
          <w:tcPr>
            <w:tcW w:w="1248" w:type="dxa"/>
            <w:tcBorders>
              <w:top w:val="single" w:sz="4" w:space="0" w:color="000000"/>
              <w:left w:val="single" w:sz="4" w:space="0" w:color="000000"/>
              <w:bottom w:val="single" w:sz="4" w:space="0" w:color="000000"/>
              <w:right w:val="single" w:sz="4" w:space="0" w:color="000000"/>
            </w:tcBorders>
          </w:tcPr>
          <w:p>
            <w:pPr>
              <w:pStyle w:val="Normal"/>
              <w:widowControl w:val="false"/>
              <w:ind w:left="0" w:right="0" w:firstLine="710"/>
              <w:rPr>
                <w:sz w:val="16"/>
                <w:szCs w:val="16"/>
              </w:rPr>
            </w:pPr>
            <w:r>
              <w:rPr>
                <w:sz w:val="16"/>
                <w:szCs w:val="16"/>
              </w:rPr>
            </w:r>
          </w:p>
        </w:tc>
        <w:tc>
          <w:tcPr>
            <w:tcW w:w="1317" w:type="dxa"/>
            <w:tcBorders>
              <w:top w:val="single" w:sz="4" w:space="0" w:color="000000"/>
              <w:left w:val="single" w:sz="4" w:space="0" w:color="000000"/>
              <w:bottom w:val="single" w:sz="4" w:space="0" w:color="000000"/>
              <w:right w:val="single" w:sz="4" w:space="0" w:color="000000"/>
            </w:tcBorders>
          </w:tcPr>
          <w:p>
            <w:pPr>
              <w:pStyle w:val="Normal"/>
              <w:widowControl w:val="false"/>
              <w:ind w:left="0" w:right="0" w:firstLine="710"/>
              <w:rPr>
                <w:sz w:val="16"/>
                <w:szCs w:val="16"/>
              </w:rPr>
            </w:pPr>
            <w:r>
              <w:rPr>
                <w:sz w:val="16"/>
                <w:szCs w:val="16"/>
              </w:rPr>
            </w:r>
          </w:p>
        </w:tc>
      </w:tr>
    </w:tbl>
    <w:p>
      <w:pPr>
        <w:pStyle w:val="ListNumber2"/>
        <w:numPr>
          <w:ilvl w:val="0"/>
          <w:numId w:val="0"/>
        </w:numPr>
        <w:tabs>
          <w:tab w:val="clear" w:pos="708"/>
          <w:tab w:val="left" w:pos="993" w:leader="none"/>
        </w:tabs>
        <w:ind w:left="709" w:right="0" w:hanging="0"/>
        <w:rPr/>
      </w:pPr>
      <w:r>
        <w:rPr>
          <w:b/>
          <w:bCs/>
        </w:rPr>
        <w:t xml:space="preserve">Вторая часть заявки </w:t>
      </w:r>
      <w:r>
        <w:rPr>
          <w:b w:val="false"/>
          <w:bCs w:val="false"/>
        </w:rPr>
        <w:t>на участие в аукционе должна содержать следующие документы и информацию</w:t>
      </w:r>
      <w:r>
        <w:rPr/>
        <w:t xml:space="preserve">: </w:t>
      </w:r>
    </w:p>
    <w:p>
      <w:pPr>
        <w:pStyle w:val="ListNumber2"/>
        <w:numPr>
          <w:ilvl w:val="0"/>
          <w:numId w:val="0"/>
        </w:numPr>
        <w:tabs>
          <w:tab w:val="clear" w:pos="708"/>
          <w:tab w:val="left" w:pos="993" w:leader="none"/>
        </w:tabs>
        <w:ind w:left="0" w:right="0" w:firstLine="709"/>
        <w:rPr/>
      </w:pPr>
      <w:r>
        <w:rPr/>
        <w:t>Сведения об участнике закупки, подготовленные по форме «Сведения об участнике закупки» включающее в себя:</w:t>
      </w:r>
    </w:p>
    <w:p>
      <w:pPr>
        <w:pStyle w:val="ListNumber4"/>
        <w:numPr>
          <w:ilvl w:val="0"/>
          <w:numId w:val="0"/>
        </w:numPr>
        <w:tabs>
          <w:tab w:val="clear" w:pos="708"/>
          <w:tab w:val="left" w:pos="993" w:leader="none"/>
        </w:tabs>
        <w:ind w:left="0" w:right="0" w:hanging="0"/>
        <w:rPr/>
      </w:pPr>
      <w:r>
        <w:rPr/>
        <w:t xml:space="preserve">    </w:t>
      </w:r>
      <w:r>
        <w:rPr/>
        <w:t xml:space="preserve">1) Наименование, место нахождения (для юридического лица) </w:t>
      </w:r>
      <w:r>
        <w:rPr>
          <w:color w:val="000000"/>
        </w:rPr>
        <w:t>(место нахождения юридического лица является условием отнесения участника закупки к российским или иностранным лицам)</w:t>
      </w:r>
      <w:r>
        <w:rPr/>
        <w:t xml:space="preserve">, фамилия, имя, отчество, место регистрации </w:t>
      </w:r>
      <w:r>
        <w:rPr>
          <w:color w:val="000000"/>
        </w:rPr>
        <w:t>(место жительства физического лица является условием отнесения участника закупки к российским или иностранным лицам)</w:t>
      </w:r>
      <w:r>
        <w:rPr/>
        <w:t>, паспортные данные (для физического лица), почтовый адрес, банковские реквизиты участника закупки, идентификационный номер налогоплательщика</w:t>
      </w:r>
    </w:p>
    <w:p>
      <w:pPr>
        <w:pStyle w:val="Normal"/>
        <w:numPr>
          <w:ilvl w:val="0"/>
          <w:numId w:val="0"/>
        </w:numPr>
        <w:ind w:left="0" w:right="0" w:firstLine="710"/>
        <w:jc w:val="left"/>
        <w:outlineLvl w:val="0"/>
        <w:rPr/>
      </w:pPr>
      <w:r>
        <w:rPr/>
        <w:t>Форма «Сведения об участнике закупки»:</w:t>
      </w:r>
    </w:p>
    <w:tbl>
      <w:tblPr>
        <w:tblW w:w="9339" w:type="dxa"/>
        <w:jc w:val="left"/>
        <w:tblInd w:w="-109" w:type="dxa"/>
        <w:tblLayout w:type="fixed"/>
        <w:tblCellMar>
          <w:top w:w="0" w:type="dxa"/>
          <w:left w:w="108" w:type="dxa"/>
          <w:bottom w:w="0" w:type="dxa"/>
          <w:right w:w="108" w:type="dxa"/>
        </w:tblCellMar>
        <w:tblLook w:noVBand="1" w:val="04a0" w:noHBand="0" w:lastColumn="0" w:firstColumn="1" w:lastRow="0" w:firstRow="1"/>
      </w:tblPr>
      <w:tblGrid>
        <w:gridCol w:w="4521"/>
        <w:gridCol w:w="4817"/>
      </w:tblGrid>
      <w:tr>
        <w:trPr>
          <w:trHeight w:val="1134" w:hRule="atLeast"/>
        </w:trPr>
        <w:tc>
          <w:tcPr>
            <w:tcW w:w="452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230" w:leader="none"/>
              </w:tabs>
              <w:ind w:left="0" w:right="33" w:firstLine="710"/>
              <w:rPr/>
            </w:pPr>
            <w:r>
              <w:rPr/>
              <w:t>Наименование (для юридического лица)/</w:t>
            </w:r>
          </w:p>
          <w:p>
            <w:pPr>
              <w:pStyle w:val="Normal"/>
              <w:widowControl w:val="false"/>
              <w:tabs>
                <w:tab w:val="clear" w:pos="708"/>
                <w:tab w:val="left" w:pos="1230" w:leader="none"/>
              </w:tabs>
              <w:ind w:left="0" w:right="33" w:firstLine="710"/>
              <w:rPr/>
            </w:pPr>
            <w:r>
              <w:rPr/>
              <w:t>Ф.И.О./паспортные данные (для физического лица)</w:t>
            </w:r>
          </w:p>
        </w:tc>
        <w:tc>
          <w:tcPr>
            <w:tcW w:w="481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230" w:leader="none"/>
              </w:tabs>
              <w:ind w:left="0" w:right="168" w:firstLine="710"/>
              <w:rPr/>
            </w:pPr>
            <w:r>
              <w:rPr/>
            </w:r>
          </w:p>
        </w:tc>
      </w:tr>
      <w:tr>
        <w:trPr/>
        <w:tc>
          <w:tcPr>
            <w:tcW w:w="452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230" w:leader="none"/>
              </w:tabs>
              <w:ind w:left="0" w:right="33" w:firstLine="710"/>
              <w:rPr/>
            </w:pPr>
            <w:r>
              <w:rPr/>
              <w:t>Место нахождения (для юридического лица)/ место регистрации (для физического лица)</w:t>
            </w:r>
          </w:p>
        </w:tc>
        <w:tc>
          <w:tcPr>
            <w:tcW w:w="481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230" w:leader="none"/>
              </w:tabs>
              <w:ind w:left="0" w:right="168" w:firstLine="710"/>
              <w:rPr/>
            </w:pPr>
            <w:r>
              <w:rPr/>
            </w:r>
          </w:p>
        </w:tc>
      </w:tr>
      <w:tr>
        <w:trPr/>
        <w:tc>
          <w:tcPr>
            <w:tcW w:w="452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230" w:leader="none"/>
              </w:tabs>
              <w:ind w:left="0" w:right="33" w:firstLine="710"/>
              <w:rPr/>
            </w:pPr>
            <w:r>
              <w:rPr/>
              <w:t>Почтовый адрес</w:t>
            </w:r>
          </w:p>
        </w:tc>
        <w:tc>
          <w:tcPr>
            <w:tcW w:w="481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230" w:leader="none"/>
              </w:tabs>
              <w:ind w:left="0" w:right="168" w:firstLine="710"/>
              <w:rPr/>
            </w:pPr>
            <w:r>
              <w:rPr/>
            </w:r>
          </w:p>
        </w:tc>
      </w:tr>
      <w:tr>
        <w:trPr/>
        <w:tc>
          <w:tcPr>
            <w:tcW w:w="452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230" w:leader="none"/>
              </w:tabs>
              <w:ind w:left="0" w:right="33" w:firstLine="710"/>
              <w:rPr/>
            </w:pPr>
            <w:r>
              <w:rPr/>
              <w:t>Банковские реквизиты</w:t>
            </w:r>
          </w:p>
        </w:tc>
        <w:tc>
          <w:tcPr>
            <w:tcW w:w="481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230" w:leader="none"/>
              </w:tabs>
              <w:ind w:left="0" w:right="168" w:firstLine="710"/>
              <w:rPr/>
            </w:pPr>
            <w:r>
              <w:rPr/>
            </w:r>
          </w:p>
        </w:tc>
      </w:tr>
      <w:tr>
        <w:trPr/>
        <w:tc>
          <w:tcPr>
            <w:tcW w:w="452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230" w:leader="none"/>
              </w:tabs>
              <w:ind w:left="0" w:right="33" w:firstLine="710"/>
              <w:rPr/>
            </w:pPr>
            <w:r>
              <w:rPr/>
              <w:t>ИНН</w:t>
            </w:r>
          </w:p>
        </w:tc>
        <w:tc>
          <w:tcPr>
            <w:tcW w:w="481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230" w:leader="none"/>
              </w:tabs>
              <w:ind w:left="0" w:right="168" w:firstLine="710"/>
              <w:rPr/>
            </w:pPr>
            <w:r>
              <w:rPr/>
            </w:r>
          </w:p>
        </w:tc>
      </w:tr>
    </w:tbl>
    <w:p>
      <w:pPr>
        <w:pStyle w:val="Normal"/>
        <w:numPr>
          <w:ilvl w:val="0"/>
          <w:numId w:val="0"/>
        </w:numPr>
        <w:tabs>
          <w:tab w:val="clear" w:pos="708"/>
          <w:tab w:val="left" w:pos="993" w:leader="none"/>
        </w:tabs>
        <w:ind w:left="0" w:right="0" w:firstLine="709"/>
        <w:rPr/>
      </w:pPr>
      <w:r>
        <w:rPr/>
        <w:t>2) Копии учредительных документов участника закупки (для юридического лица), надлежащим образом заверенный перевод на русский язык учредительных документов юридического лица в соответствии с законодательством соответствующего государства (для иностранного лица)</w:t>
      </w:r>
    </w:p>
    <w:p>
      <w:pPr>
        <w:pStyle w:val="ListNumber2"/>
        <w:numPr>
          <w:ilvl w:val="0"/>
          <w:numId w:val="0"/>
        </w:numPr>
        <w:tabs>
          <w:tab w:val="clear" w:pos="708"/>
          <w:tab w:val="left" w:pos="993" w:leader="none"/>
        </w:tabs>
        <w:ind w:left="0" w:right="0" w:firstLine="709"/>
        <w:rPr/>
      </w:pPr>
      <w:r>
        <w:rPr/>
        <w:t>3) Фамилия, имя, отчество (при наличии) и должность лица, имеющего право без доверенности действовать от имени юридического лица, а также паспортные данные такого лица или данные иных документов, удостоверяющих личность в соответствии с законодательством Российской Федерации, и идентификационный номер налогоплательщика (при его наличии).</w:t>
      </w:r>
    </w:p>
    <w:p>
      <w:pPr>
        <w:pStyle w:val="ListNumber2"/>
        <w:numPr>
          <w:ilvl w:val="0"/>
          <w:numId w:val="0"/>
        </w:numPr>
        <w:tabs>
          <w:tab w:val="clear" w:pos="708"/>
          <w:tab w:val="left" w:pos="993" w:leader="none"/>
        </w:tabs>
        <w:ind w:left="0" w:right="0" w:firstLine="709"/>
        <w:rPr/>
      </w:pPr>
      <w:r>
        <w:rPr/>
        <w:t>4) Идентификационный номер налогоплательщика этого участника закупки или в соответствии с законодательством соответствующего государства аналог идентификационного номера налогоплательщика участника закупки (для иностранного лица).</w:t>
      </w:r>
    </w:p>
    <w:p>
      <w:pPr>
        <w:pStyle w:val="ListNumber2"/>
        <w:numPr>
          <w:ilvl w:val="0"/>
          <w:numId w:val="0"/>
        </w:numPr>
        <w:tabs>
          <w:tab w:val="clear" w:pos="708"/>
          <w:tab w:val="left" w:pos="993" w:leader="none"/>
        </w:tabs>
        <w:ind w:left="0" w:right="0" w:firstLine="709"/>
        <w:rPr/>
      </w:pPr>
      <w:r>
        <w:rPr/>
        <w:t>5) Копия документа, удостоверяющего личность участника закупки в соответствии с законодательством Российской Федерации (для физического лица, не являющегося индивидуальным предпринимателем).</w:t>
      </w:r>
    </w:p>
    <w:p>
      <w:pPr>
        <w:pStyle w:val="ListNumber2"/>
        <w:numPr>
          <w:ilvl w:val="0"/>
          <w:numId w:val="0"/>
        </w:numPr>
        <w:tabs>
          <w:tab w:val="clear" w:pos="708"/>
          <w:tab w:val="left" w:pos="993" w:leader="none"/>
        </w:tabs>
        <w:ind w:left="0" w:right="0" w:firstLine="709"/>
        <w:rPr/>
      </w:pPr>
      <w:r>
        <w:rPr/>
        <w:t>6)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pPr>
        <w:pStyle w:val="ListNumber2"/>
        <w:numPr>
          <w:ilvl w:val="0"/>
          <w:numId w:val="0"/>
        </w:numPr>
        <w:tabs>
          <w:tab w:val="clear" w:pos="708"/>
          <w:tab w:val="left" w:pos="993" w:leader="none"/>
        </w:tabs>
        <w:ind w:left="0" w:right="0" w:firstLine="709"/>
        <w:rPr>
          <w:color w:val="C5E0B3"/>
        </w:rPr>
      </w:pPr>
      <w:r>
        <w:rPr/>
        <w:t>7) Копии документов, подтверждающих соответствие товара, являющихся предметом закупки, требованиям, установленным в соответствии с законодательством Российской Федерации;</w:t>
      </w:r>
    </w:p>
    <w:p>
      <w:pPr>
        <w:pStyle w:val="ListNumber4"/>
        <w:numPr>
          <w:ilvl w:val="0"/>
          <w:numId w:val="0"/>
        </w:numPr>
        <w:tabs>
          <w:tab w:val="clear" w:pos="708"/>
          <w:tab w:val="left" w:pos="993" w:leader="none"/>
        </w:tabs>
        <w:ind w:left="0" w:right="0" w:firstLine="709"/>
        <w:rPr/>
      </w:pPr>
      <w:r>
        <w:rPr/>
        <w:t xml:space="preserve">8) </w:t>
      </w:r>
      <w:r>
        <w:rPr>
          <w:rFonts w:eastAsia="Times New Roman" w:cs="Times New Roman"/>
          <w:color w:val="auto"/>
          <w:kern w:val="0"/>
          <w:sz w:val="24"/>
          <w:szCs w:val="24"/>
          <w:lang w:val="ru-RU" w:eastAsia="zh-CN" w:bidi="ar-SA"/>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w:t>
      </w:r>
    </w:p>
    <w:p>
      <w:pPr>
        <w:pStyle w:val="ListNumber3"/>
        <w:numPr>
          <w:ilvl w:val="0"/>
          <w:numId w:val="0"/>
        </w:numPr>
        <w:tabs>
          <w:tab w:val="clear" w:pos="708"/>
          <w:tab w:val="left" w:pos="993" w:leader="none"/>
        </w:tabs>
        <w:ind w:left="0" w:right="0" w:hanging="0"/>
        <w:rPr/>
      </w:pPr>
      <w:r>
        <w:rPr/>
        <w:t xml:space="preserve">   </w:t>
      </w:r>
      <w:r>
        <w:rPr/>
        <w:t>9) Документы, подтверждающие соответствие участника закупки требованиям, установленным Разделом 1.7. настоящей документации;</w:t>
      </w:r>
    </w:p>
    <w:p>
      <w:pPr>
        <w:pStyle w:val="ListNumber4"/>
        <w:numPr>
          <w:ilvl w:val="0"/>
          <w:numId w:val="0"/>
        </w:numPr>
        <w:tabs>
          <w:tab w:val="clear" w:pos="708"/>
          <w:tab w:val="left" w:pos="709" w:leader="none"/>
          <w:tab w:val="left" w:pos="1134" w:leader="none"/>
        </w:tabs>
        <w:ind w:left="0" w:right="0" w:hanging="0"/>
        <w:rPr/>
      </w:pPr>
      <w:r>
        <w:rPr/>
        <w:t xml:space="preserve">     </w:t>
      </w:r>
      <w:r>
        <w:rPr/>
        <w:t>10)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pPr>
        <w:pStyle w:val="ListNumber4"/>
        <w:numPr>
          <w:ilvl w:val="0"/>
          <w:numId w:val="0"/>
        </w:numPr>
        <w:tabs>
          <w:tab w:val="clear" w:pos="708"/>
          <w:tab w:val="left" w:pos="993" w:leader="none"/>
          <w:tab w:val="left" w:pos="1134" w:leader="none"/>
        </w:tabs>
        <w:ind w:left="0" w:right="0" w:hanging="0"/>
        <w:rPr>
          <w:i/>
          <w:i/>
        </w:rPr>
      </w:pPr>
      <w:r>
        <w:rPr/>
        <w:t xml:space="preserve">         </w:t>
      </w:r>
      <w:r>
        <w:rPr/>
        <w:t>11) Информация и документы, определенные в соответствии с пунктом 2 части 2 статьи 3.1-4 Федерального закона № 223-ФЗ – установлено.</w:t>
      </w:r>
    </w:p>
    <w:p>
      <w:pPr>
        <w:pStyle w:val="ListNumber4"/>
        <w:numPr>
          <w:ilvl w:val="0"/>
          <w:numId w:val="8"/>
        </w:numPr>
        <w:tabs>
          <w:tab w:val="clear" w:pos="708"/>
          <w:tab w:val="left" w:pos="993" w:leader="none"/>
          <w:tab w:val="left" w:pos="1134" w:leader="none"/>
        </w:tabs>
        <w:ind w:left="0" w:right="0" w:firstLine="709"/>
        <w:rPr>
          <w:i/>
          <w:i/>
        </w:rPr>
      </w:pPr>
      <w:r>
        <w:rPr>
          <w:i/>
        </w:rPr>
        <w:t>для подтверждения происхождения товаров, указанных в приложении N 1-2 к постановлению Правительства РФ № 1875, из Российской Федерации -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pPr>
        <w:pStyle w:val="ListNumber4"/>
        <w:numPr>
          <w:ilvl w:val="0"/>
          <w:numId w:val="0"/>
        </w:numPr>
        <w:tabs>
          <w:tab w:val="clear" w:pos="708"/>
          <w:tab w:val="left" w:pos="993" w:leader="none"/>
          <w:tab w:val="left" w:pos="1134" w:leader="none"/>
        </w:tabs>
        <w:ind w:left="0" w:right="0" w:firstLine="709"/>
        <w:rPr>
          <w:i/>
          <w:i/>
        </w:rPr>
      </w:pPr>
      <w:r>
        <w:rPr>
          <w:i/>
        </w:rPr>
        <w:t>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Правительства Российской Федерации от 17 июля 2015 г. N 719 "О подтверждении производства российской промышленной продукции" для целей осуществления закупок;</w:t>
      </w:r>
    </w:p>
    <w:p>
      <w:pPr>
        <w:pStyle w:val="ListNumber4"/>
        <w:numPr>
          <w:ilvl w:val="0"/>
          <w:numId w:val="8"/>
        </w:numPr>
        <w:tabs>
          <w:tab w:val="clear" w:pos="708"/>
          <w:tab w:val="left" w:pos="993" w:leader="none"/>
        </w:tabs>
        <w:ind w:left="0" w:right="0" w:firstLine="709"/>
        <w:rPr>
          <w:i/>
          <w:i/>
        </w:rPr>
      </w:pPr>
      <w:r>
        <w:rPr>
          <w:i/>
        </w:rPr>
        <w:t>для подтверждения происхождения являющихся предметом закупки товаров, указанных в приложении N 3 к постановлению Правительства РФ № 1875, из государств - членов Евразийского экономического союза, за исключением Российской Федерации, номер реестровой записи из евразийского реестра промышленных товаров государств - членов Евразийского экономического союза, содержащей в том числе:</w:t>
      </w:r>
    </w:p>
    <w:p>
      <w:pPr>
        <w:pStyle w:val="ListNumber4"/>
        <w:numPr>
          <w:ilvl w:val="0"/>
          <w:numId w:val="0"/>
        </w:numPr>
        <w:tabs>
          <w:tab w:val="clear" w:pos="708"/>
          <w:tab w:val="left" w:pos="993" w:leader="none"/>
        </w:tabs>
        <w:ind w:left="0" w:right="0" w:firstLine="709"/>
        <w:rPr>
          <w:i/>
          <w:i/>
          <w:color w:val="FF0000"/>
        </w:rPr>
      </w:pPr>
      <w:r>
        <w:rPr>
          <w:i/>
        </w:rPr>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pPr>
        <w:pStyle w:val="ListNumber4"/>
        <w:numPr>
          <w:ilvl w:val="0"/>
          <w:numId w:val="0"/>
        </w:numPr>
        <w:tabs>
          <w:tab w:val="clear" w:pos="708"/>
          <w:tab w:val="left" w:pos="993" w:leader="none"/>
        </w:tabs>
        <w:ind w:left="0" w:right="0" w:firstLine="709"/>
        <w:rPr/>
      </w:pPr>
      <w:r>
        <w:rPr>
          <w:i/>
          <w:color w:val="FF0000"/>
        </w:rPr>
        <w:t>Примечание</w:t>
      </w:r>
      <w:r>
        <w:rPr>
          <w:i/>
        </w:rPr>
        <w:t>: отсутствие информации и документов, определенных в соответствии с пунктом 2 части 2 статьи 3.1-4 Федерального закона № 223-ФЗ в составе заявки не является основанием для отклонения заявки участника, заявка приравнивается к заявке, содержащей предложение поставке товара иностранного происхождения.</w:t>
      </w:r>
    </w:p>
    <w:p>
      <w:pPr>
        <w:pStyle w:val="Normal"/>
        <w:ind w:left="0" w:right="0" w:firstLine="851"/>
        <w:jc w:val="both"/>
        <w:rPr/>
      </w:pPr>
      <w:r>
        <w:rPr>
          <w:rFonts w:eastAsia="Times New Roman" w:cs="Times New Roman"/>
          <w:b/>
          <w:bCs/>
          <w:color w:val="auto"/>
          <w:kern w:val="0"/>
          <w:sz w:val="24"/>
          <w:szCs w:val="24"/>
          <w:lang w:val="ru-RU" w:eastAsia="zh-CN" w:bidi="ar-SA"/>
        </w:rPr>
        <w:t>Для группы (нескольких лиц) лиц, выступающих на стороне одного участника закупки, помимо перечисленных документов:</w:t>
      </w:r>
    </w:p>
    <w:p>
      <w:pPr>
        <w:pStyle w:val="NoSpacing"/>
        <w:ind w:left="0" w:right="0" w:firstLine="851"/>
        <w:jc w:val="both"/>
        <w:rPr>
          <w:rFonts w:ascii="Times New Roman" w:hAnsi="Times New Roman" w:eastAsia="Times New Roman" w:cs="Times New Roman"/>
          <w:color w:val="auto"/>
          <w:kern w:val="0"/>
          <w:sz w:val="24"/>
          <w:szCs w:val="24"/>
          <w:lang w:val="ru-RU" w:eastAsia="zh-CN" w:bidi="ar-SA"/>
        </w:rPr>
      </w:pPr>
      <w:r>
        <w:rPr>
          <w:rFonts w:eastAsia="Times New Roman" w:cs="Times New Roman"/>
          <w:color w:val="auto"/>
          <w:kern w:val="0"/>
          <w:sz w:val="24"/>
          <w:szCs w:val="24"/>
          <w:lang w:val="ru-RU" w:eastAsia="zh-CN" w:bidi="ar-SA"/>
        </w:rPr>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конкретного участника закупки участвовать в закупке от имени группы лиц, в том числе подавать заявку, вносить обеспечение заявки, подписывать договор и другие документы;</w:t>
      </w:r>
    </w:p>
    <w:p>
      <w:pPr>
        <w:pStyle w:val="NoSpacing"/>
        <w:ind w:left="0" w:right="0" w:firstLine="851"/>
        <w:jc w:val="both"/>
        <w:rPr>
          <w:rFonts w:ascii="Times New Roman" w:hAnsi="Times New Roman" w:eastAsia="Times New Roman" w:cs="Times New Roman"/>
          <w:color w:val="auto"/>
          <w:kern w:val="0"/>
          <w:sz w:val="24"/>
          <w:szCs w:val="24"/>
          <w:lang w:val="ru-RU" w:eastAsia="zh-CN" w:bidi="ar-SA"/>
        </w:rPr>
      </w:pPr>
      <w:r>
        <w:rPr>
          <w:rFonts w:eastAsia="Times New Roman" w:cs="Times New Roman"/>
          <w:color w:val="auto"/>
          <w:kern w:val="0"/>
          <w:sz w:val="24"/>
          <w:szCs w:val="24"/>
          <w:lang w:val="ru-RU" w:eastAsia="zh-CN" w:bidi="ar-SA"/>
        </w:rPr>
        <w:t>б) документы и сведения участника закупки, которому от имени группы лиц поручено подать заявку на участие в закупке.</w:t>
      </w:r>
    </w:p>
    <w:p>
      <w:pPr>
        <w:pStyle w:val="Normal"/>
        <w:numPr>
          <w:ilvl w:val="0"/>
          <w:numId w:val="0"/>
        </w:numPr>
        <w:tabs>
          <w:tab w:val="clear" w:pos="708"/>
          <w:tab w:val="left" w:pos="993" w:leader="none"/>
        </w:tabs>
        <w:ind w:left="0" w:right="0" w:firstLine="709"/>
        <w:rPr>
          <w:i/>
          <w:i/>
        </w:rPr>
      </w:pPr>
      <w:r>
        <w:rPr>
          <w:i/>
        </w:rPr>
      </w:r>
    </w:p>
    <w:p>
      <w:pPr>
        <w:pStyle w:val="Normal"/>
        <w:numPr>
          <w:ilvl w:val="0"/>
          <w:numId w:val="0"/>
        </w:numPr>
        <w:tabs>
          <w:tab w:val="clear" w:pos="708"/>
          <w:tab w:val="left" w:pos="993" w:leader="none"/>
        </w:tabs>
        <w:ind w:left="0" w:right="0" w:firstLine="709"/>
        <w:rPr>
          <w:i/>
          <w:i/>
        </w:rPr>
      </w:pPr>
      <w:r>
        <w:rPr>
          <w:i/>
        </w:rPr>
      </w:r>
    </w:p>
    <w:p>
      <w:pPr>
        <w:pStyle w:val="Style37"/>
        <w:numPr>
          <w:ilvl w:val="0"/>
          <w:numId w:val="0"/>
        </w:numPr>
        <w:ind w:left="0" w:right="0" w:firstLine="709"/>
        <w:jc w:val="center"/>
        <w:rPr/>
      </w:pPr>
      <w:bookmarkStart w:id="0" w:name="sub_410866_Копия_1"/>
      <w:bookmarkEnd w:id="0"/>
      <w:r>
        <w:rPr/>
        <w:t>Часть 2. Информационная карта документации об аукционе.</w:t>
      </w:r>
    </w:p>
    <w:p>
      <w:pPr>
        <w:pStyle w:val="Style37"/>
        <w:numPr>
          <w:ilvl w:val="0"/>
          <w:numId w:val="0"/>
        </w:numPr>
        <w:ind w:left="0" w:right="0" w:firstLine="709"/>
        <w:jc w:val="center"/>
        <w:rPr/>
      </w:pPr>
      <w:r>
        <w:rPr/>
      </w:r>
    </w:p>
    <w:p>
      <w:pPr>
        <w:pStyle w:val="Style37"/>
        <w:numPr>
          <w:ilvl w:val="0"/>
          <w:numId w:val="0"/>
        </w:numPr>
        <w:ind w:left="0" w:right="0" w:firstLine="709"/>
        <w:jc w:val="center"/>
        <w:rPr/>
      </w:pPr>
      <w:r>
        <w:rPr/>
        <w:t>Раздел 2.1. Сведения о начальной (максимальной) цене договора.</w:t>
      </w:r>
    </w:p>
    <w:p>
      <w:pPr>
        <w:pStyle w:val="ListNumber2"/>
        <w:numPr>
          <w:ilvl w:val="0"/>
          <w:numId w:val="0"/>
        </w:numPr>
        <w:ind w:left="0" w:right="0" w:firstLine="710"/>
        <w:rPr/>
      </w:pPr>
      <w:r>
        <w:rPr/>
        <w:t>Начальная (максимальная) цена договора (цена лота) указана в обосновании начальной (максимальной) цены договора на поставку товаров являющимся неотъемлемой частью настоящей документации.</w:t>
      </w:r>
    </w:p>
    <w:p>
      <w:pPr>
        <w:pStyle w:val="ListNumber2"/>
        <w:numPr>
          <w:ilvl w:val="0"/>
          <w:numId w:val="0"/>
        </w:numPr>
        <w:ind w:left="0" w:right="0" w:firstLine="710"/>
        <w:rPr/>
      </w:pPr>
      <w:r>
        <w:rPr/>
      </w:r>
    </w:p>
    <w:p>
      <w:pPr>
        <w:pStyle w:val="NoSpacing"/>
        <w:ind w:left="0" w:right="0" w:firstLine="851"/>
        <w:jc w:val="both"/>
        <w:rPr>
          <w:rFonts w:ascii="Times New Roman" w:hAnsi="Times New Roman" w:eastAsia="Times New Roman" w:cs="Times New Roman"/>
          <w:b/>
          <w:color w:val="auto"/>
          <w:kern w:val="0"/>
          <w:sz w:val="24"/>
          <w:szCs w:val="24"/>
          <w:lang w:val="ru-RU" w:eastAsia="zh-CN" w:bidi="ar-SA"/>
        </w:rPr>
      </w:pPr>
      <w:r>
        <w:rPr>
          <w:rFonts w:eastAsia="Times New Roman" w:cs="Times New Roman"/>
          <w:b/>
          <w:color w:val="auto"/>
          <w:kern w:val="0"/>
          <w:sz w:val="24"/>
          <w:szCs w:val="24"/>
          <w:lang w:val="ru-RU" w:eastAsia="zh-CN" w:bidi="ar-SA"/>
        </w:rPr>
        <w:t>Раздел 2.2. Сведения о валюте, используемой для формирования цены договора и расчетов с поставщиками (исполнителями, подрядчиками).</w:t>
      </w:r>
    </w:p>
    <w:p>
      <w:pPr>
        <w:pStyle w:val="NoSpacing"/>
        <w:ind w:left="0" w:right="0" w:firstLine="851"/>
        <w:jc w:val="both"/>
        <w:rPr>
          <w:highlight w:val="none"/>
          <w:shd w:fill="auto" w:val="clear"/>
        </w:rPr>
      </w:pPr>
      <w:r>
        <w:rPr>
          <w:rFonts w:eastAsia="Times New Roman" w:cs="Times New Roman"/>
          <w:b w:val="false"/>
          <w:bCs w:val="false"/>
          <w:color w:val="000000"/>
          <w:kern w:val="0"/>
          <w:sz w:val="24"/>
          <w:szCs w:val="24"/>
          <w:shd w:fill="auto" w:val="clear"/>
          <w:lang w:val="ru-RU" w:eastAsia="zh-CN" w:bidi="ar-SA"/>
        </w:rPr>
        <w:t>Российский рубль.</w:t>
      </w:r>
    </w:p>
    <w:p>
      <w:pPr>
        <w:pStyle w:val="NoSpacing"/>
        <w:ind w:left="0" w:right="0" w:firstLine="851"/>
        <w:jc w:val="both"/>
        <w:rPr>
          <w:rFonts w:ascii="Times New Roman" w:hAnsi="Times New Roman" w:eastAsia="Times New Roman" w:cs="Times New Roman"/>
          <w:b w:val="false"/>
          <w:bCs w:val="false"/>
          <w:color w:val="auto"/>
          <w:kern w:val="0"/>
          <w:sz w:val="24"/>
          <w:szCs w:val="24"/>
          <w:highlight w:val="none"/>
          <w:shd w:fill="auto" w:val="clear"/>
          <w:lang w:val="ru-RU" w:eastAsia="zh-CN" w:bidi="ar-SA"/>
        </w:rPr>
      </w:pPr>
      <w:r>
        <w:rPr>
          <w:rFonts w:eastAsia="Times New Roman" w:cs="Times New Roman"/>
          <w:b w:val="false"/>
          <w:bCs w:val="false"/>
          <w:color w:val="000000"/>
          <w:kern w:val="0"/>
          <w:sz w:val="24"/>
          <w:szCs w:val="24"/>
          <w:shd w:fill="auto" w:val="clear"/>
          <w:lang w:val="ru-RU" w:eastAsia="zh-CN" w:bidi="ar-SA"/>
        </w:rPr>
      </w:r>
    </w:p>
    <w:p>
      <w:pPr>
        <w:pStyle w:val="NoSpacing"/>
        <w:ind w:left="0" w:right="0" w:firstLine="851"/>
        <w:jc w:val="both"/>
        <w:rPr>
          <w:highlight w:val="none"/>
          <w:shd w:fill="auto" w:val="clear"/>
        </w:rPr>
      </w:pPr>
      <w:r>
        <w:rPr>
          <w:rFonts w:eastAsia="Times New Roman" w:cs="Times New Roman"/>
          <w:b/>
          <w:color w:val="000000"/>
          <w:kern w:val="0"/>
          <w:sz w:val="24"/>
          <w:szCs w:val="24"/>
          <w:shd w:fill="auto" w:val="clear"/>
          <w:lang w:val="ru-RU" w:eastAsia="zh-CN" w:bidi="ar-SA"/>
        </w:rPr>
        <w:t>Раздел 2.3.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Договора.</w:t>
      </w:r>
    </w:p>
    <w:p>
      <w:pPr>
        <w:pStyle w:val="NoSpacing"/>
        <w:ind w:left="0" w:right="0" w:firstLine="851"/>
        <w:jc w:val="both"/>
        <w:rPr>
          <w:highlight w:val="none"/>
          <w:shd w:fill="auto" w:val="clear"/>
        </w:rPr>
      </w:pPr>
      <w:r>
        <w:rPr>
          <w:rFonts w:eastAsia="Times New Roman" w:cs="Times New Roman"/>
          <w:b w:val="false"/>
          <w:bCs w:val="false"/>
          <w:color w:val="000000"/>
          <w:kern w:val="0"/>
          <w:sz w:val="24"/>
          <w:szCs w:val="24"/>
          <w:shd w:fill="auto" w:val="clear"/>
          <w:lang w:val="ru-RU" w:eastAsia="zh-CN" w:bidi="ar-SA"/>
        </w:rPr>
        <w:t>Не установлено.</w:t>
      </w:r>
    </w:p>
    <w:p>
      <w:pPr>
        <w:pStyle w:val="NoSpacing"/>
        <w:ind w:left="0" w:right="0" w:firstLine="851"/>
        <w:jc w:val="both"/>
        <w:rPr>
          <w:rFonts w:ascii="Times New Roman" w:hAnsi="Times New Roman" w:eastAsia="Times New Roman" w:cs="Times New Roman"/>
          <w:b/>
          <w:color w:val="auto"/>
          <w:kern w:val="0"/>
          <w:sz w:val="24"/>
          <w:szCs w:val="24"/>
          <w:lang w:val="ru-RU" w:eastAsia="zh-CN" w:bidi="ar-SA"/>
        </w:rPr>
      </w:pPr>
      <w:r>
        <w:rPr>
          <w:rFonts w:eastAsia="Times New Roman" w:cs="Times New Roman"/>
          <w:b/>
          <w:color w:val="auto"/>
          <w:kern w:val="0"/>
          <w:sz w:val="24"/>
          <w:szCs w:val="24"/>
          <w:lang w:val="ru-RU" w:eastAsia="zh-CN" w:bidi="ar-SA"/>
        </w:rPr>
      </w:r>
    </w:p>
    <w:p>
      <w:pPr>
        <w:pStyle w:val="Style37"/>
        <w:numPr>
          <w:ilvl w:val="0"/>
          <w:numId w:val="0"/>
        </w:numPr>
        <w:ind w:left="0" w:right="0" w:firstLine="709"/>
        <w:jc w:val="center"/>
        <w:rPr>
          <w:rFonts w:ascii="Times New Roman" w:hAnsi="Times New Roman" w:eastAsia="Times New Roman" w:cs="Times New Roman"/>
          <w:b/>
          <w:color w:val="auto"/>
          <w:kern w:val="0"/>
          <w:sz w:val="24"/>
          <w:szCs w:val="24"/>
          <w:lang w:val="ru-RU" w:eastAsia="zh-CN" w:bidi="ar-SA"/>
        </w:rPr>
      </w:pPr>
      <w:r>
        <w:rPr>
          <w:rFonts w:eastAsia="Times New Roman" w:cs="Times New Roman"/>
          <w:b/>
          <w:color w:val="auto"/>
          <w:kern w:val="0"/>
          <w:sz w:val="24"/>
          <w:szCs w:val="24"/>
          <w:lang w:val="ru-RU" w:eastAsia="zh-CN" w:bidi="ar-SA"/>
        </w:rPr>
        <w:t>Раздел 2.4.  Порядок формирования цены договора.</w:t>
      </w:r>
    </w:p>
    <w:p>
      <w:pPr>
        <w:pStyle w:val="ListNumber2"/>
        <w:widowControl w:val="false"/>
        <w:numPr>
          <w:ilvl w:val="0"/>
          <w:numId w:val="0"/>
        </w:numPr>
        <w:tabs>
          <w:tab w:val="clear" w:pos="708"/>
          <w:tab w:val="left" w:pos="993" w:leader="none"/>
        </w:tabs>
        <w:ind w:left="0" w:right="0" w:hanging="0"/>
        <w:rPr>
          <w:rFonts w:ascii="Times New Roman" w:hAnsi="Times New Roman" w:eastAsia="Times New Roman" w:cs="Times New Roman"/>
          <w:color w:val="auto"/>
          <w:kern w:val="0"/>
          <w:sz w:val="24"/>
          <w:szCs w:val="24"/>
          <w:lang w:val="ru-RU" w:eastAsia="zh-CN" w:bidi="ar-SA"/>
        </w:rPr>
      </w:pPr>
      <w:r>
        <w:rPr>
          <w:rFonts w:eastAsia="Times New Roman" w:cs="Times New Roman"/>
          <w:color w:val="auto"/>
          <w:kern w:val="0"/>
          <w:sz w:val="24"/>
          <w:szCs w:val="24"/>
          <w:lang w:val="ru-RU" w:eastAsia="zh-CN" w:bidi="ar-SA"/>
        </w:rPr>
        <w:t>Расчет произведен на основании коммерческих предложений. Сумма включает в себя</w:t>
      </w:r>
      <w:r>
        <w:rPr>
          <w:rFonts w:eastAsia="Times New Roman" w:cs="Times New Roman"/>
          <w:color w:val="000000"/>
          <w:kern w:val="0"/>
          <w:sz w:val="24"/>
          <w:szCs w:val="24"/>
          <w:shd w:fill="FFFF00" w:val="clear"/>
          <w:lang w:val="ru-RU" w:eastAsia="zh-CN" w:bidi="ar-SA"/>
        </w:rPr>
        <w:t xml:space="preserve"> </w:t>
      </w:r>
      <w:r>
        <w:rPr>
          <w:rFonts w:eastAsia="Times New Roman" w:cs="Times New Roman"/>
          <w:color w:val="000000"/>
          <w:kern w:val="0"/>
          <w:sz w:val="24"/>
          <w:szCs w:val="24"/>
          <w:shd w:fill="auto" w:val="clear"/>
          <w:lang w:val="ru-RU" w:eastAsia="zh-CN" w:bidi="ar-SA"/>
        </w:rPr>
        <w:t xml:space="preserve">стоимость Товара без НДС, стоимость тары и упаковки, маркировки, стоимость страхования Товара, расходы на доставку Товара по адресу Покупателя, уплату всех пошлин, налогов, сборов и других обязательных платежей. </w:t>
      </w:r>
    </w:p>
    <w:p>
      <w:pPr>
        <w:pStyle w:val="ListNumber2"/>
        <w:numPr>
          <w:ilvl w:val="0"/>
          <w:numId w:val="0"/>
        </w:numPr>
        <w:ind w:left="0" w:right="0" w:hanging="0"/>
        <w:rPr>
          <w:rFonts w:ascii="Times New Roman" w:hAnsi="Times New Roman" w:eastAsia="Times New Roman" w:cs="Times New Roman"/>
          <w:color w:val="auto"/>
          <w:kern w:val="0"/>
          <w:sz w:val="24"/>
          <w:szCs w:val="24"/>
          <w:lang w:val="ru-RU" w:eastAsia="zh-CN" w:bidi="ar-SA"/>
        </w:rPr>
      </w:pPr>
      <w:r>
        <w:rPr>
          <w:rFonts w:eastAsia="Times New Roman" w:cs="Times New Roman"/>
          <w:color w:val="auto"/>
          <w:kern w:val="0"/>
          <w:sz w:val="24"/>
          <w:szCs w:val="24"/>
          <w:lang w:val="ru-RU" w:eastAsia="zh-CN" w:bidi="ar-SA"/>
        </w:rPr>
      </w:r>
    </w:p>
    <w:p>
      <w:pPr>
        <w:pStyle w:val="Style37"/>
        <w:numPr>
          <w:ilvl w:val="0"/>
          <w:numId w:val="0"/>
        </w:numPr>
        <w:ind w:left="0" w:right="0" w:firstLine="709"/>
        <w:jc w:val="center"/>
        <w:rPr/>
      </w:pPr>
      <w:r>
        <w:rPr/>
        <w:t>Раздел 2.5. Место, условия, сроки (периоды) поставки товара.</w:t>
      </w:r>
    </w:p>
    <w:p>
      <w:pPr>
        <w:pStyle w:val="ListNumber2"/>
        <w:numPr>
          <w:ilvl w:val="0"/>
          <w:numId w:val="0"/>
        </w:numPr>
        <w:ind w:left="0" w:right="0" w:firstLine="710"/>
        <w:rPr/>
      </w:pPr>
      <w:r>
        <w:rPr/>
        <w:t>Место поставки: Товар поставляется Получателю по адресу, указанному в Техническом задании (Приложение №1).</w:t>
      </w:r>
    </w:p>
    <w:p>
      <w:pPr>
        <w:pStyle w:val="ListNumber2"/>
        <w:numPr>
          <w:ilvl w:val="0"/>
          <w:numId w:val="0"/>
        </w:numPr>
        <w:ind w:left="0" w:right="0" w:firstLine="710"/>
        <w:rPr/>
      </w:pPr>
      <w:r>
        <w:rPr/>
        <w:t>Условия поставки: Поставка Товара осуществляется в объеме и с учетом требований о функциональных, технических, качественных и эксплуатационных характеристиках объекта закупки, указанных в Технических требованиях, являющейся неотъемлемой частью договора, по результатам аукциона в электронной форме.</w:t>
      </w:r>
    </w:p>
    <w:p>
      <w:pPr>
        <w:pStyle w:val="ListNumber2"/>
        <w:widowControl/>
        <w:numPr>
          <w:ilvl w:val="0"/>
          <w:numId w:val="0"/>
        </w:numPr>
        <w:tabs>
          <w:tab w:val="clear" w:pos="708"/>
          <w:tab w:val="left" w:pos="993" w:leader="none"/>
        </w:tabs>
        <w:suppressAutoHyphens w:val="true"/>
        <w:bidi w:val="0"/>
        <w:spacing w:before="0" w:after="0"/>
        <w:ind w:left="0" w:right="0" w:hanging="0"/>
        <w:contextualSpacing/>
        <w:jc w:val="both"/>
        <w:rPr>
          <w:color w:val="000000"/>
        </w:rPr>
      </w:pPr>
      <w:r>
        <w:rPr/>
        <w:t xml:space="preserve">           </w:t>
      </w:r>
      <w:r>
        <w:rPr/>
        <w:t>Товар поставляется за счет Поставщика.</w:t>
      </w:r>
    </w:p>
    <w:p>
      <w:pPr>
        <w:pStyle w:val="ListNumber2"/>
        <w:widowControl/>
        <w:numPr>
          <w:ilvl w:val="0"/>
          <w:numId w:val="0"/>
        </w:numPr>
        <w:tabs>
          <w:tab w:val="clear" w:pos="708"/>
          <w:tab w:val="left" w:pos="993" w:leader="none"/>
        </w:tabs>
        <w:suppressAutoHyphens w:val="true"/>
        <w:bidi w:val="0"/>
        <w:spacing w:before="0" w:after="0"/>
        <w:ind w:left="0" w:right="0" w:hanging="0"/>
        <w:contextualSpacing/>
        <w:jc w:val="both"/>
        <w:rPr/>
      </w:pPr>
      <w:r>
        <w:rPr>
          <w:color w:val="000000"/>
        </w:rPr>
        <w:t xml:space="preserve">       </w:t>
      </w:r>
      <w:r>
        <w:rPr>
          <w:color w:val="000000"/>
        </w:rPr>
        <w:t>При передаче Товара Поставщик предоставляет следующие документы в двух экземплярах: счет, счет-фактура, товарная накладная (УПД) с обязательной ссылкой на номер договора и другие необходимые документы в соответствии с Техническим заданием.</w:t>
      </w:r>
    </w:p>
    <w:p>
      <w:pPr>
        <w:pStyle w:val="ListNumber2"/>
        <w:numPr>
          <w:ilvl w:val="0"/>
          <w:numId w:val="0"/>
        </w:numPr>
        <w:tabs>
          <w:tab w:val="clear" w:pos="708"/>
          <w:tab w:val="left" w:pos="993" w:leader="none"/>
        </w:tabs>
        <w:ind w:left="0" w:right="0" w:hanging="0"/>
        <w:rPr/>
      </w:pPr>
      <w:r>
        <w:rPr/>
        <w:t xml:space="preserve">   </w:t>
      </w:r>
      <w:r>
        <w:rPr/>
        <w:t>Датой поставки Товара считается отметка Получателя в соответствующих товарных накладных (УПД) о получении Товара, подписанных Поставщиком и Получателем.</w:t>
      </w:r>
    </w:p>
    <w:p>
      <w:pPr>
        <w:pStyle w:val="ListNumber2"/>
        <w:numPr>
          <w:ilvl w:val="0"/>
          <w:numId w:val="0"/>
        </w:numPr>
        <w:tabs>
          <w:tab w:val="clear" w:pos="708"/>
          <w:tab w:val="left" w:pos="993" w:leader="none"/>
        </w:tabs>
        <w:ind w:left="0" w:right="0" w:hanging="0"/>
        <w:rPr/>
      </w:pPr>
      <w:r>
        <w:rPr/>
        <w:t xml:space="preserve">         </w:t>
      </w:r>
      <w:r>
        <w:rPr/>
        <w:t>Расходы, связанные с обратной транспортировкой некачественного, не соответствующего техническим требованиям к договору или несвоевременно поставленного товара, несет Поставщик.</w:t>
      </w:r>
    </w:p>
    <w:p>
      <w:pPr>
        <w:pStyle w:val="ListNumber2"/>
        <w:numPr>
          <w:ilvl w:val="0"/>
          <w:numId w:val="0"/>
        </w:numPr>
        <w:tabs>
          <w:tab w:val="clear" w:pos="708"/>
          <w:tab w:val="left" w:pos="993" w:leader="none"/>
        </w:tabs>
        <w:ind w:left="0" w:right="0" w:hanging="0"/>
        <w:rPr/>
      </w:pPr>
      <w:r>
        <w:rPr/>
        <w:t xml:space="preserve">        </w:t>
      </w:r>
      <w:r>
        <w:rPr/>
        <w:t>Срок поставки: поставка товара осуществляется в сроки, указанные в проекте договора и Техническом Задании.</w:t>
      </w:r>
    </w:p>
    <w:p>
      <w:pPr>
        <w:pStyle w:val="ListNumber2"/>
        <w:numPr>
          <w:ilvl w:val="0"/>
          <w:numId w:val="0"/>
        </w:numPr>
        <w:tabs>
          <w:tab w:val="clear" w:pos="708"/>
          <w:tab w:val="left" w:pos="993" w:leader="none"/>
        </w:tabs>
        <w:ind w:left="710" w:right="0" w:hanging="0"/>
        <w:rPr/>
      </w:pPr>
      <w:r>
        <w:rPr/>
      </w:r>
    </w:p>
    <w:p>
      <w:pPr>
        <w:pStyle w:val="Style37"/>
        <w:numPr>
          <w:ilvl w:val="0"/>
          <w:numId w:val="0"/>
        </w:numPr>
        <w:ind w:left="0" w:right="0" w:firstLine="709"/>
        <w:jc w:val="center"/>
        <w:rPr/>
      </w:pPr>
      <w:r>
        <w:rPr/>
        <w:t>Раздел 2.6. Форма, сроки и порядок оплаты товара.</w:t>
      </w:r>
    </w:p>
    <w:p>
      <w:pPr>
        <w:pStyle w:val="ListNumber2"/>
        <w:numPr>
          <w:ilvl w:val="0"/>
          <w:numId w:val="0"/>
        </w:numPr>
        <w:tabs>
          <w:tab w:val="clear" w:pos="708"/>
          <w:tab w:val="left" w:pos="993" w:leader="none"/>
        </w:tabs>
        <w:ind w:left="0" w:right="0" w:hanging="0"/>
        <w:jc w:val="both"/>
        <w:rPr/>
      </w:pPr>
      <w:r>
        <w:rPr/>
        <w:t xml:space="preserve">               </w:t>
      </w:r>
      <w:r>
        <w:rPr/>
        <w:t>Форма оплаты: безналичное перечисление.</w:t>
      </w:r>
    </w:p>
    <w:p>
      <w:pPr>
        <w:pStyle w:val="ListNumber2"/>
        <w:numPr>
          <w:ilvl w:val="0"/>
          <w:numId w:val="0"/>
        </w:numPr>
        <w:tabs>
          <w:tab w:val="clear" w:pos="708"/>
          <w:tab w:val="left" w:pos="993" w:leader="none"/>
        </w:tabs>
        <w:ind w:left="0" w:right="0" w:hanging="0"/>
        <w:rPr/>
      </w:pPr>
      <w:r>
        <w:rPr/>
        <w:t xml:space="preserve">         </w:t>
      </w:r>
      <w:r>
        <w:rPr/>
        <w:t>Сроки и порядок оплаты: оплата за поставленный товар производится не позднее 7 рабочих дней с даты подписания товарной накладной (УПД).</w:t>
      </w:r>
    </w:p>
    <w:p>
      <w:pPr>
        <w:pStyle w:val="Style37"/>
        <w:numPr>
          <w:ilvl w:val="0"/>
          <w:numId w:val="0"/>
        </w:numPr>
        <w:ind w:left="0" w:right="0" w:firstLine="709"/>
        <w:rPr/>
      </w:pPr>
      <w:r>
        <w:rPr/>
      </w:r>
    </w:p>
    <w:p>
      <w:pPr>
        <w:pStyle w:val="Style37"/>
        <w:numPr>
          <w:ilvl w:val="0"/>
          <w:numId w:val="0"/>
        </w:numPr>
        <w:ind w:left="0" w:right="0" w:firstLine="709"/>
        <w:jc w:val="center"/>
        <w:rPr/>
      </w:pPr>
      <w:r>
        <w:rPr/>
        <w:t>Раздел 2.7.  Порядок, место, дата начала и дата окончания срока подачи заявок на участие в аукционе.</w:t>
      </w:r>
    </w:p>
    <w:p>
      <w:pPr>
        <w:pStyle w:val="Style37"/>
        <w:numPr>
          <w:ilvl w:val="0"/>
          <w:numId w:val="0"/>
        </w:numPr>
        <w:ind w:left="0" w:right="0" w:firstLine="709"/>
        <w:jc w:val="both"/>
        <w:rPr>
          <w:b w:val="false"/>
          <w:bCs w:val="false"/>
        </w:rPr>
      </w:pPr>
      <w:r>
        <w:rPr>
          <w:b w:val="false"/>
          <w:bCs w:val="false"/>
        </w:rPr>
        <w:t>Место подачи заявок: электронная торговая площадка https://etpzakupki.tatar.</w:t>
      </w:r>
    </w:p>
    <w:p>
      <w:pPr>
        <w:pStyle w:val="ListNumber2"/>
        <w:numPr>
          <w:ilvl w:val="0"/>
          <w:numId w:val="0"/>
        </w:numPr>
        <w:ind w:left="0" w:right="0" w:firstLine="709"/>
        <w:jc w:val="both"/>
        <w:rPr>
          <w:highlight w:val="none"/>
          <w:shd w:fill="auto" w:val="clear"/>
        </w:rPr>
      </w:pPr>
      <w:r>
        <w:rPr>
          <w:shd w:fill="auto" w:val="clear"/>
        </w:rPr>
        <w:t xml:space="preserve">Дата начала срока подачи заявок на участие в аукционе </w:t>
      </w:r>
      <w:r>
        <w:rPr>
          <w:b/>
          <w:bCs/>
          <w:shd w:fill="auto" w:val="clear"/>
        </w:rPr>
        <w:t>11.06.</w:t>
      </w:r>
      <w:r>
        <w:rPr>
          <w:b/>
          <w:bCs/>
          <w:shd w:fill="auto" w:val="clear"/>
        </w:rPr>
        <w:t xml:space="preserve">2025 г. </w:t>
      </w:r>
    </w:p>
    <w:p>
      <w:pPr>
        <w:pStyle w:val="ListNumber2"/>
        <w:numPr>
          <w:ilvl w:val="0"/>
          <w:numId w:val="0"/>
        </w:numPr>
        <w:ind w:left="0" w:right="0" w:firstLine="709"/>
        <w:rPr>
          <w:highlight w:val="none"/>
          <w:shd w:fill="auto" w:val="clear"/>
        </w:rPr>
      </w:pPr>
      <w:r>
        <w:rPr>
          <w:shd w:fill="auto" w:val="clear"/>
        </w:rPr>
        <w:t xml:space="preserve">Дата окончания срока подачи заявок на участие в аукционе </w:t>
      </w:r>
      <w:r>
        <w:rPr>
          <w:b/>
          <w:bCs/>
          <w:shd w:fill="auto" w:val="clear"/>
        </w:rPr>
        <w:t>27.06.</w:t>
      </w:r>
      <w:r>
        <w:rPr>
          <w:b/>
          <w:bCs/>
          <w:shd w:fill="auto" w:val="clear"/>
        </w:rPr>
        <w:t xml:space="preserve">2025 г. </w:t>
      </w:r>
      <w:r>
        <w:rPr>
          <w:b/>
          <w:bCs/>
          <w:shd w:fill="auto" w:val="clear"/>
        </w:rPr>
        <w:t xml:space="preserve">07 </w:t>
      </w:r>
      <w:bookmarkStart w:id="1" w:name="_Hlk164771604"/>
      <w:r>
        <w:rPr>
          <w:b/>
          <w:bCs/>
          <w:shd w:fill="auto" w:val="clear"/>
        </w:rPr>
        <w:t xml:space="preserve">часов </w:t>
      </w:r>
      <w:r>
        <w:rPr>
          <w:b/>
          <w:bCs/>
          <w:shd w:fill="auto" w:val="clear"/>
        </w:rPr>
        <w:t xml:space="preserve">00 </w:t>
      </w:r>
      <w:r>
        <w:rPr>
          <w:b/>
          <w:bCs/>
          <w:shd w:fill="auto" w:val="clear"/>
        </w:rPr>
        <w:t>минут</w:t>
      </w:r>
      <w:r>
        <w:rPr>
          <w:b/>
          <w:bCs/>
          <w:shd w:fill="auto" w:val="clear"/>
        </w:rPr>
        <w:t xml:space="preserve"> (время московское). </w:t>
      </w:r>
      <w:bookmarkEnd w:id="1"/>
    </w:p>
    <w:p>
      <w:pPr>
        <w:pStyle w:val="ListNumber2"/>
        <w:numPr>
          <w:ilvl w:val="0"/>
          <w:numId w:val="0"/>
        </w:numPr>
        <w:ind w:left="0" w:right="0" w:firstLine="709"/>
        <w:rPr/>
      </w:pPr>
      <w:r>
        <w:rPr/>
        <w:t>Заявка на участие в аукционе в электронной форме, состоящая из двух частей, подается в любой момент с момента размещения извещения об аукционе до даты и времени окончания срока подачи заявок на участие в аукционе, которая установлена в настоящей документации.</w:t>
      </w:r>
    </w:p>
    <w:p>
      <w:pPr>
        <w:pStyle w:val="ListNumber2"/>
        <w:numPr>
          <w:ilvl w:val="0"/>
          <w:numId w:val="0"/>
        </w:numPr>
        <w:ind w:left="0" w:right="0" w:firstLine="709"/>
        <w:rPr/>
      </w:pPr>
      <w:r>
        <w:rPr/>
        <w:t>Каждая часть заявки на участие в аукционе в электронной форме направляется участником закупки оператору электронной площадки в форме электронного документа, подписанного электронной подписью лица, имеющего право действовать от имени участника.</w:t>
      </w:r>
    </w:p>
    <w:p>
      <w:pPr>
        <w:pStyle w:val="Style37"/>
        <w:numPr>
          <w:ilvl w:val="0"/>
          <w:numId w:val="0"/>
        </w:numPr>
        <w:ind w:left="0" w:right="0" w:hanging="0"/>
        <w:rPr/>
      </w:pPr>
      <w:r>
        <w:rPr/>
      </w:r>
    </w:p>
    <w:p>
      <w:pPr>
        <w:pStyle w:val="Style37"/>
        <w:numPr>
          <w:ilvl w:val="0"/>
          <w:numId w:val="0"/>
        </w:numPr>
        <w:ind w:left="0" w:right="0" w:firstLine="709"/>
        <w:jc w:val="center"/>
        <w:rPr/>
      </w:pPr>
      <w:r>
        <w:rPr/>
        <w:t>Раздел 2.8. Срок, место и порядок предоставления документации аукциона, форма, порядок, дата начала и окончания срока предоставления участникам закупки разъяснений положений документации аукциона.</w:t>
      </w:r>
    </w:p>
    <w:p>
      <w:pPr>
        <w:pStyle w:val="ListNumber2"/>
        <w:numPr>
          <w:ilvl w:val="0"/>
          <w:numId w:val="0"/>
        </w:numPr>
        <w:ind w:left="0" w:right="0" w:firstLine="709"/>
        <w:rPr/>
      </w:pPr>
      <w:r>
        <w:rPr/>
        <w:t xml:space="preserve">Документация об аукционе доступна для ознакомления на официальном сайте без взимания </w:t>
      </w:r>
      <w:r>
        <w:rPr>
          <w:color w:val="000000"/>
        </w:rPr>
        <w:t xml:space="preserve">платы с момента опубликования извещения об </w:t>
      </w:r>
      <w:r>
        <w:rPr/>
        <w:t>аукционе в электронной форме</w:t>
      </w:r>
      <w:r>
        <w:rPr>
          <w:color w:val="000000"/>
        </w:rPr>
        <w:t>.</w:t>
      </w:r>
    </w:p>
    <w:p>
      <w:pPr>
        <w:pStyle w:val="ListNumber2"/>
        <w:numPr>
          <w:ilvl w:val="0"/>
          <w:numId w:val="0"/>
        </w:numPr>
        <w:ind w:left="0" w:right="0" w:firstLine="709"/>
        <w:rPr>
          <w:rStyle w:val="Style11"/>
          <w:color w:val="000000"/>
          <w:sz w:val="24"/>
          <w:szCs w:val="24"/>
        </w:rPr>
      </w:pPr>
      <w:r>
        <w:rPr/>
        <w:t>Любой участник закупки, получивший аккредитацию на электронной площадке, вправе направить на адрес электронной площадки, на которой планируется проведение аукциона, за</w:t>
      </w:r>
      <w:r>
        <w:rPr>
          <w:shd w:fill="auto" w:val="clear"/>
        </w:rPr>
        <w:t>прос о разъяснении положений документации об аукционе.</w:t>
      </w:r>
    </w:p>
    <w:p>
      <w:pPr>
        <w:pStyle w:val="ListNumber2"/>
        <w:numPr>
          <w:ilvl w:val="0"/>
          <w:numId w:val="0"/>
        </w:numPr>
        <w:ind w:left="0" w:right="0" w:firstLine="709"/>
        <w:rPr/>
      </w:pPr>
      <w:r>
        <w:rPr>
          <w:rStyle w:val="Style11"/>
          <w:color w:val="000000"/>
          <w:sz w:val="24"/>
          <w:szCs w:val="24"/>
          <w:shd w:fill="auto" w:val="clear"/>
        </w:rPr>
        <w:t>Прием запросов о разъяснении положений документации осуществляется с момента размещения документации на официальном сайте</w:t>
      </w:r>
      <w:r>
        <w:rPr>
          <w:rStyle w:val="Style11"/>
          <w:b/>
          <w:bCs/>
          <w:color w:val="000000"/>
          <w:sz w:val="24"/>
          <w:szCs w:val="24"/>
          <w:shd w:fill="auto" w:val="clear"/>
        </w:rPr>
        <w:t xml:space="preserve"> по </w:t>
      </w:r>
      <w:r>
        <w:rPr>
          <w:rStyle w:val="Style11"/>
          <w:b/>
          <w:bCs/>
          <w:color w:val="000000"/>
          <w:sz w:val="24"/>
          <w:szCs w:val="24"/>
          <w:shd w:fill="auto" w:val="clear"/>
        </w:rPr>
        <w:t>23.06.</w:t>
      </w:r>
      <w:r>
        <w:rPr>
          <w:rStyle w:val="Style11"/>
          <w:b/>
          <w:bCs/>
          <w:color w:val="000000"/>
          <w:sz w:val="24"/>
          <w:szCs w:val="24"/>
          <w:shd w:fill="auto" w:val="clear"/>
        </w:rPr>
        <w:t xml:space="preserve">2025 г. </w:t>
      </w:r>
    </w:p>
    <w:p>
      <w:pPr>
        <w:pStyle w:val="ListNumber2"/>
        <w:numPr>
          <w:ilvl w:val="0"/>
          <w:numId w:val="0"/>
        </w:numPr>
        <w:ind w:left="0" w:right="0" w:firstLine="709"/>
        <w:rPr/>
      </w:pPr>
      <w:r>
        <w:rPr>
          <w:rStyle w:val="Style11"/>
          <w:color w:val="000000"/>
          <w:sz w:val="24"/>
          <w:szCs w:val="24"/>
          <w:shd w:fill="auto" w:val="clear"/>
        </w:rPr>
        <w:t xml:space="preserve">Срок предоставления участникам аукциона разъяснений положений документации </w:t>
      </w:r>
      <w:r>
        <w:rPr>
          <w:rStyle w:val="Style11"/>
          <w:b/>
          <w:bCs/>
          <w:color w:val="000000"/>
          <w:sz w:val="24"/>
          <w:szCs w:val="24"/>
          <w:shd w:fill="auto" w:val="clear"/>
        </w:rPr>
        <w:t xml:space="preserve">с  </w:t>
      </w:r>
      <w:r>
        <w:rPr>
          <w:rStyle w:val="Style11"/>
          <w:b/>
          <w:bCs/>
          <w:color w:val="000000"/>
          <w:sz w:val="24"/>
          <w:szCs w:val="24"/>
          <w:shd w:fill="auto" w:val="clear"/>
        </w:rPr>
        <w:t>11.06.</w:t>
      </w:r>
      <w:r>
        <w:rPr>
          <w:rStyle w:val="Style11"/>
          <w:b/>
          <w:bCs/>
          <w:color w:val="000000"/>
          <w:sz w:val="24"/>
          <w:szCs w:val="24"/>
          <w:shd w:fill="auto" w:val="clear"/>
        </w:rPr>
        <w:t xml:space="preserve">2025 г. по 23ч.59 мин. </w:t>
      </w:r>
      <w:r>
        <w:rPr>
          <w:rStyle w:val="Style11"/>
          <w:b/>
          <w:bCs/>
          <w:color w:val="000000"/>
          <w:sz w:val="24"/>
          <w:szCs w:val="24"/>
          <w:shd w:fill="auto" w:val="clear"/>
        </w:rPr>
        <w:t>26.06.</w:t>
      </w:r>
      <w:r>
        <w:rPr>
          <w:rStyle w:val="Style11"/>
          <w:b/>
          <w:bCs/>
          <w:color w:val="000000"/>
          <w:sz w:val="24"/>
          <w:szCs w:val="24"/>
          <w:shd w:fill="auto" w:val="clear"/>
        </w:rPr>
        <w:t xml:space="preserve">2025 года </w:t>
      </w:r>
      <w:r>
        <w:rPr>
          <w:rStyle w:val="Style11"/>
          <w:color w:val="000000"/>
          <w:sz w:val="24"/>
          <w:szCs w:val="24"/>
          <w:shd w:fill="auto" w:val="clear"/>
        </w:rPr>
        <w:t>включительно</w:t>
      </w:r>
      <w:r>
        <w:rPr>
          <w:rStyle w:val="Style11"/>
          <w:rFonts w:eastAsia="Times New Roman"/>
          <w:color w:val="000000"/>
          <w:kern w:val="0"/>
          <w:sz w:val="24"/>
          <w:szCs w:val="24"/>
          <w:shd w:fill="auto" w:val="clear"/>
          <w:lang w:val="ru-RU" w:eastAsia="zh-CN" w:bidi="ar-SA"/>
        </w:rPr>
        <w:t xml:space="preserve"> (в случае, если последний день срока предоставления разъяснений положений документации приходится на нерабочий день, днем окончания срока предоставления разъясн</w:t>
      </w:r>
      <w:r>
        <w:rPr>
          <w:rStyle w:val="Style11"/>
          <w:rFonts w:eastAsia="Times New Roman"/>
          <w:color w:val="000000"/>
          <w:kern w:val="0"/>
          <w:sz w:val="24"/>
          <w:szCs w:val="24"/>
          <w:lang w:val="ru-RU" w:eastAsia="zh-CN" w:bidi="ar-SA"/>
        </w:rPr>
        <w:t>ений считается ближайший следующий за ним рабочий день).</w:t>
      </w:r>
      <w:r>
        <w:rPr>
          <w:rStyle w:val="Style11"/>
          <w:color w:val="000000"/>
          <w:sz w:val="24"/>
          <w:szCs w:val="24"/>
        </w:rPr>
        <w:t xml:space="preserve"> </w:t>
      </w:r>
    </w:p>
    <w:p>
      <w:pPr>
        <w:pStyle w:val="ListNumber2"/>
        <w:numPr>
          <w:ilvl w:val="0"/>
          <w:numId w:val="0"/>
        </w:numPr>
        <w:ind w:left="0" w:right="0" w:firstLine="709"/>
        <w:rPr/>
      </w:pPr>
      <w:r>
        <w:rPr/>
        <w:t xml:space="preserve">Заказчик по собственной инициативе или в соответствии с поступившим запросом о разъяснении положений документации об аукционе вправе принять решение о внесении изменений в документацию об аукционе. В течение трех дней со дня принятия указанного решения изменения, внесенные в документацию об аукционе, размещаются заказчиком в ЕИС. В результате внесения указанных изменений срок подачи заявок на участие в аукционе должен быть продлен таким образом, чтобы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аукционе. </w:t>
      </w:r>
    </w:p>
    <w:p>
      <w:pPr>
        <w:pStyle w:val="ListNumber2"/>
        <w:numPr>
          <w:ilvl w:val="0"/>
          <w:numId w:val="0"/>
        </w:numPr>
        <w:ind w:left="0" w:right="0" w:hanging="0"/>
        <w:rPr/>
      </w:pPr>
      <w:r>
        <w:rPr/>
      </w:r>
    </w:p>
    <w:p>
      <w:pPr>
        <w:pStyle w:val="Style37"/>
        <w:numPr>
          <w:ilvl w:val="0"/>
          <w:numId w:val="0"/>
        </w:numPr>
        <w:ind w:left="0" w:right="0" w:firstLine="709"/>
        <w:jc w:val="center"/>
        <w:rPr/>
      </w:pPr>
      <w:r>
        <w:rPr/>
        <w:t>Раздел 2.9. Место и дата рассмотрения заявок на участие в аукционе.</w:t>
      </w:r>
    </w:p>
    <w:p>
      <w:pPr>
        <w:pStyle w:val="Normal"/>
        <w:widowControl w:val="false"/>
        <w:ind w:left="0" w:right="0" w:firstLine="709"/>
        <w:rPr/>
      </w:pPr>
      <w:r>
        <w:rPr/>
        <w:t>Место рассмотрения заявок на участие в аукционе э</w:t>
      </w:r>
      <w:r>
        <w:rPr>
          <w:b w:val="false"/>
          <w:bCs w:val="false"/>
        </w:rPr>
        <w:t>лектронная торговая площадка http</w:t>
      </w:r>
      <w:r>
        <w:rPr>
          <w:b w:val="false"/>
          <w:bCs w:val="false"/>
          <w:shd w:fill="auto" w:val="clear"/>
        </w:rPr>
        <w:t>s://etpzakupki.tatar.</w:t>
      </w:r>
    </w:p>
    <w:p>
      <w:pPr>
        <w:pStyle w:val="Normal"/>
        <w:widowControl w:val="false"/>
        <w:ind w:left="0" w:right="0" w:firstLine="709"/>
        <w:rPr>
          <w:highlight w:val="none"/>
          <w:shd w:fill="auto" w:val="clear"/>
        </w:rPr>
      </w:pPr>
      <w:r>
        <w:rPr>
          <w:b/>
          <w:bCs/>
          <w:shd w:fill="auto" w:val="clear"/>
        </w:rPr>
        <w:t xml:space="preserve">Дата рассмотрения первых частей заявок на участие в аукционе </w:t>
      </w:r>
      <w:r>
        <w:rPr>
          <w:b/>
          <w:bCs/>
          <w:shd w:fill="auto" w:val="clear"/>
        </w:rPr>
        <w:t>01.07.</w:t>
      </w:r>
      <w:r>
        <w:rPr>
          <w:b/>
          <w:bCs/>
          <w:shd w:fill="auto" w:val="clear"/>
        </w:rPr>
        <w:t>2025 г.</w:t>
      </w:r>
    </w:p>
    <w:p>
      <w:pPr>
        <w:pStyle w:val="ListNumber2"/>
        <w:numPr>
          <w:ilvl w:val="0"/>
          <w:numId w:val="0"/>
        </w:numPr>
        <w:ind w:left="0" w:right="0" w:firstLine="709"/>
        <w:rPr>
          <w:highlight w:val="none"/>
          <w:shd w:fill="auto" w:val="clear"/>
        </w:rPr>
      </w:pPr>
      <w:r>
        <w:rPr>
          <w:b/>
          <w:bCs/>
          <w:shd w:fill="auto" w:val="clear"/>
        </w:rPr>
        <w:t xml:space="preserve">Дата и время проведения аукциона: 09:30 (по московскому времени) </w:t>
      </w:r>
      <w:r>
        <w:rPr>
          <w:b/>
          <w:bCs/>
          <w:shd w:fill="auto" w:val="clear"/>
        </w:rPr>
        <w:t>02.07.</w:t>
      </w:r>
      <w:r>
        <w:rPr>
          <w:b/>
          <w:bCs/>
          <w:shd w:fill="auto" w:val="clear"/>
        </w:rPr>
        <w:t>2025 г.</w:t>
      </w:r>
    </w:p>
    <w:p>
      <w:pPr>
        <w:pStyle w:val="ListNumber2"/>
        <w:numPr>
          <w:ilvl w:val="0"/>
          <w:numId w:val="0"/>
        </w:numPr>
        <w:ind w:left="0" w:right="0" w:firstLine="709"/>
        <w:rPr>
          <w:highlight w:val="none"/>
          <w:shd w:fill="auto" w:val="clear"/>
        </w:rPr>
      </w:pPr>
      <w:r>
        <w:rPr>
          <w:b/>
          <w:bCs/>
          <w:shd w:fill="auto" w:val="clear"/>
        </w:rPr>
        <w:t xml:space="preserve">Дата рассмотрения вторых частей заявок на участие в аукционе </w:t>
      </w:r>
      <w:r>
        <w:rPr>
          <w:b/>
          <w:bCs/>
          <w:shd w:fill="auto" w:val="clear"/>
        </w:rPr>
        <w:t>03.07.</w:t>
      </w:r>
      <w:r>
        <w:rPr>
          <w:b/>
          <w:bCs/>
          <w:shd w:fill="auto" w:val="clear"/>
        </w:rPr>
        <w:t>2025 г.</w:t>
      </w:r>
    </w:p>
    <w:p>
      <w:pPr>
        <w:pStyle w:val="ListNumber2"/>
        <w:numPr>
          <w:ilvl w:val="0"/>
          <w:numId w:val="0"/>
        </w:numPr>
        <w:ind w:left="0" w:right="0" w:firstLine="709"/>
        <w:rPr>
          <w:highlight w:val="none"/>
          <w:shd w:fill="auto" w:val="clear"/>
        </w:rPr>
      </w:pPr>
      <w:r>
        <w:rPr>
          <w:b/>
          <w:bCs/>
          <w:shd w:fill="auto" w:val="clear"/>
        </w:rPr>
        <w:t xml:space="preserve">Дата подведения итогов закупки: </w:t>
      </w:r>
      <w:r>
        <w:rPr>
          <w:b/>
          <w:bCs/>
          <w:shd w:fill="auto" w:val="clear"/>
        </w:rPr>
        <w:t>03.07.</w:t>
      </w:r>
      <w:r>
        <w:rPr>
          <w:b/>
          <w:bCs/>
          <w:shd w:fill="auto" w:val="clear"/>
        </w:rPr>
        <w:t>2025 г.</w:t>
      </w:r>
    </w:p>
    <w:p>
      <w:pPr>
        <w:pStyle w:val="ListNumber2"/>
        <w:numPr>
          <w:ilvl w:val="0"/>
          <w:numId w:val="0"/>
        </w:numPr>
        <w:ind w:left="0" w:right="0" w:firstLine="709"/>
        <w:rPr>
          <w:b/>
          <w:bCs/>
          <w:highlight w:val="none"/>
          <w:shd w:fill="auto" w:val="clear"/>
        </w:rPr>
      </w:pPr>
      <w:r>
        <w:rPr>
          <w:b/>
          <w:bCs/>
          <w:shd w:fill="auto" w:val="clear"/>
        </w:rPr>
      </w:r>
    </w:p>
    <w:p>
      <w:pPr>
        <w:pStyle w:val="Normal"/>
        <w:ind w:left="0" w:right="0" w:firstLine="709"/>
        <w:jc w:val="center"/>
        <w:rPr>
          <w:b/>
        </w:rPr>
      </w:pPr>
      <w:r>
        <w:rPr>
          <w:b/>
        </w:rPr>
        <w:t>Раздел 2.10. Порядок рассмотрения первых частей заявок на участие в аукционе.</w:t>
      </w:r>
    </w:p>
    <w:p>
      <w:pPr>
        <w:pStyle w:val="Normal"/>
        <w:ind w:left="0" w:right="0" w:firstLine="567"/>
        <w:rPr>
          <w:bCs/>
        </w:rPr>
      </w:pPr>
      <w:r>
        <w:rPr>
          <w:bCs/>
        </w:rPr>
        <w:t xml:space="preserve">Комиссия рассматривает первые части заявок на участие в аукционе на соответствие требованиям, установленным документацией о таком аукционе в отношении закупаемых товаров. Срок рассмотрения первых частей заявок на участие в аукционе не должен превышать семь дней со дня окончания срока подачи заявок. </w:t>
      </w:r>
    </w:p>
    <w:p>
      <w:pPr>
        <w:pStyle w:val="Normal"/>
        <w:ind w:left="0" w:right="0" w:firstLine="567"/>
        <w:rPr/>
      </w:pPr>
      <w:r>
        <w:rPr>
          <w:bCs/>
        </w:rPr>
        <w:t>По результатам рассмотрения первых частей заявок на участие в аукционе комиссия принимает решение о допуске участника закупки к участию в аукционе или об отказе в допуске к участию в таком аукционе.</w:t>
      </w:r>
    </w:p>
    <w:p>
      <w:pPr>
        <w:pStyle w:val="Normal"/>
        <w:ind w:left="0" w:right="0" w:firstLine="567"/>
        <w:rPr/>
      </w:pPr>
      <w:r>
        <w:rPr/>
        <w:t>Комиссия не допускает участника закупки к участию в аукционе в следующих случаях:</w:t>
      </w:r>
    </w:p>
    <w:p>
      <w:pPr>
        <w:pStyle w:val="Normal"/>
        <w:ind w:left="0" w:right="0" w:firstLine="567"/>
        <w:rPr/>
      </w:pPr>
      <w:r>
        <w:rPr/>
        <w:t>- непредоставления информации, предусмотренной документацией о закупке, или предоставления недостоверной информации;</w:t>
      </w:r>
    </w:p>
    <w:p>
      <w:pPr>
        <w:pStyle w:val="Normal"/>
        <w:ind w:left="0" w:right="0" w:firstLine="567"/>
        <w:rPr/>
      </w:pPr>
      <w:r>
        <w:rPr/>
        <w:t>- несоответствия заявки требованиям к содержанию, оформлению и составу заявки, указанным в документации о закупке.</w:t>
      </w:r>
    </w:p>
    <w:p>
      <w:pPr>
        <w:pStyle w:val="Normal"/>
        <w:ind w:left="0" w:right="0" w:firstLine="567"/>
        <w:rPr/>
      </w:pPr>
      <w:r>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 лиц).</w:t>
      </w:r>
    </w:p>
    <w:p>
      <w:pPr>
        <w:pStyle w:val="Normal"/>
        <w:ind w:left="0" w:right="0" w:firstLine="567"/>
        <w:rPr/>
      </w:pPr>
      <w:r>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pPr>
        <w:pStyle w:val="Normal"/>
        <w:ind w:left="0" w:right="0" w:firstLine="567"/>
        <w:rPr/>
      </w:pPr>
      <w:r>
        <w:rPr/>
        <w:t>Результаты рассмотрения комиссией заявок, информация о принятых решениях с обоснованием таких решений, оформляются протоколом, который размещается на электронной площадке. Протокол подписывается членами комиссии, и размещается Заказчиком не позднее чем через 3 дня со дня его подписания</w:t>
      </w:r>
      <w:r>
        <w:rPr>
          <w:b/>
          <w:i/>
        </w:rPr>
        <w:t>.</w:t>
      </w:r>
    </w:p>
    <w:p>
      <w:pPr>
        <w:pStyle w:val="Normal"/>
        <w:ind w:left="0" w:right="0" w:firstLine="567"/>
        <w:rPr/>
      </w:pPr>
      <w:r>
        <w:rPr/>
        <w:t>В случае, если по окончании срока подачи заявок на участие в аукционе подана только одна заявка на участие в аукционе или не подана ни одна заявка на участие в аукционе в электронной форме, а также в случае, если на основании результатов рассмотрения  заявок на участие в аукционе принято решение об отказе в допуске к участию в аукционе всех участников закупки, подавших заявки на участие в аукционе, или о признании только одного участника закупки, подавшего заявку на участие в аукционе, участником аукциона, в  протокол вносится информация о признании аукциона несостоявшимся. Протокол размещается заказчиком на электронной площадке.</w:t>
      </w:r>
    </w:p>
    <w:p>
      <w:pPr>
        <w:pStyle w:val="Normal"/>
        <w:ind w:left="0" w:right="0" w:firstLine="567"/>
        <w:rPr/>
      </w:pPr>
      <w:r>
        <w:rPr/>
        <w:t>В течение одного часа с момента поступления оператору электронной площадки протокола рассмотрения заявок на участие в аукционе или с момента размещения на электронной площадке протокола рассмотрения заявок на участие в аукционе оператор электронной площадки обязан направить участникам закупки, подавшим заявки на участие в аукционе, уведомление о принятом в отношении поданной таким участником аукциона заявки на участие в аукционе решении.</w:t>
      </w:r>
    </w:p>
    <w:p>
      <w:pPr>
        <w:pStyle w:val="Normal"/>
        <w:ind w:left="0" w:right="0" w:firstLine="567"/>
        <w:rPr/>
      </w:pPr>
      <w:r>
        <w:rPr/>
        <w:t>В случае, если аукцион признан несостоявшимся и только один участник аукциона в электронной форме допущен к участию в аукционе в электронной форме, в том числе в случае, если его заявка была единственной, заказчик в течение 5 дней с момента размещения на электронной площадке протокола направляет оператору электронной площадки без подписи заказчика проект договора. При этом договор заключается на условиях, предусмотренных документацией об аукционе, по начальной (максимальной) цене договора, указанной в извещении об аукционе.</w:t>
      </w:r>
    </w:p>
    <w:p>
      <w:pPr>
        <w:pStyle w:val="Normal"/>
        <w:ind w:left="0" w:right="0" w:firstLine="567"/>
        <w:rPr/>
      </w:pPr>
      <w:r>
        <w:rPr/>
        <w:t xml:space="preserve">В течение одного часа с момента получения проекта договора оператор электронной площадки направляет проект договора участнику аукциона, допущенному к участию в аукционе, в том числе в случае, если его заявка была единственной, с которым заключается договор. Участник аукциона, допущенный к участию в аукционе, в том числе в случае, если его заявка была единственной, обязан подписать договор в течение 5 дней с момента направления ему проекта оператором электронной площади и направить договор оператору электронной площадки. </w:t>
      </w:r>
    </w:p>
    <w:p>
      <w:pPr>
        <w:pStyle w:val="Style37"/>
        <w:numPr>
          <w:ilvl w:val="0"/>
          <w:numId w:val="0"/>
        </w:numPr>
        <w:ind w:left="0" w:right="0" w:hanging="0"/>
        <w:rPr/>
      </w:pPr>
      <w:r>
        <w:rPr/>
      </w:r>
    </w:p>
    <w:p>
      <w:pPr>
        <w:pStyle w:val="Style37"/>
        <w:numPr>
          <w:ilvl w:val="0"/>
          <w:numId w:val="0"/>
        </w:numPr>
        <w:ind w:left="0" w:right="0" w:firstLine="709"/>
        <w:jc w:val="center"/>
        <w:rPr/>
      </w:pPr>
      <w:r>
        <w:rPr/>
      </w:r>
    </w:p>
    <w:p>
      <w:pPr>
        <w:pStyle w:val="Style37"/>
        <w:numPr>
          <w:ilvl w:val="0"/>
          <w:numId w:val="0"/>
        </w:numPr>
        <w:ind w:left="0" w:right="0" w:firstLine="709"/>
        <w:jc w:val="center"/>
        <w:rPr/>
      </w:pPr>
      <w:r>
        <w:rPr/>
        <w:t>Раздел 2.11. Порядок проведения аукциона.</w:t>
      </w:r>
    </w:p>
    <w:p>
      <w:pPr>
        <w:pStyle w:val="ListNumber2"/>
        <w:numPr>
          <w:ilvl w:val="0"/>
          <w:numId w:val="0"/>
        </w:numPr>
        <w:ind w:left="0" w:right="0" w:firstLine="709"/>
        <w:rPr/>
      </w:pPr>
      <w:r>
        <w:rPr/>
        <w:t xml:space="preserve"> </w:t>
      </w:r>
      <w:r>
        <w:rPr/>
        <w:t>В аукционе могут участвовать только участники закупки, признанные участниками аукционе.</w:t>
      </w:r>
    </w:p>
    <w:p>
      <w:pPr>
        <w:pStyle w:val="ListNumber2"/>
        <w:numPr>
          <w:ilvl w:val="0"/>
          <w:numId w:val="0"/>
        </w:numPr>
        <w:ind w:left="0" w:right="0" w:firstLine="709"/>
        <w:rPr/>
      </w:pPr>
      <w:r>
        <w:rPr/>
        <w:t xml:space="preserve"> </w:t>
      </w:r>
      <w:r>
        <w:rPr/>
        <w:t>Аукцион проводится путем снижения начальной (максимальной) цены договора, указанной в извещении о проведении аукциона и в обосновании начальной (максимальной) цены договора на поставку товаров настоящей документации, в порядке, установленном настоящим разделом.</w:t>
      </w:r>
    </w:p>
    <w:p>
      <w:pPr>
        <w:pStyle w:val="ListNumber2"/>
        <w:numPr>
          <w:ilvl w:val="0"/>
          <w:numId w:val="0"/>
        </w:numPr>
        <w:ind w:left="0" w:right="0" w:firstLine="709"/>
        <w:rPr/>
      </w:pPr>
      <w:r>
        <w:rPr/>
        <w:t xml:space="preserve"> </w:t>
      </w:r>
      <w:r>
        <w:rPr/>
        <w:t>"Шаг аукциона" составляет от 0,5 процента до пяти процентов начальной (максимальной) цены договора (цены лота).</w:t>
      </w:r>
    </w:p>
    <w:p>
      <w:pPr>
        <w:pStyle w:val="ListNumber2"/>
        <w:numPr>
          <w:ilvl w:val="0"/>
          <w:numId w:val="0"/>
        </w:numPr>
        <w:ind w:left="0" w:right="0" w:firstLine="709"/>
        <w:rPr/>
      </w:pPr>
      <w:r>
        <w:rPr/>
        <w:t xml:space="preserve"> </w:t>
      </w:r>
      <w:r>
        <w:rPr/>
        <w:t>При проведении аукциона участники аукциона подают предложения о цене договора, предусматривающие снижение текущего минимального предложения о цене договора на величину в пределах "шага аукциона".</w:t>
      </w:r>
    </w:p>
    <w:p>
      <w:pPr>
        <w:pStyle w:val="ListNumber2"/>
        <w:numPr>
          <w:ilvl w:val="0"/>
          <w:numId w:val="0"/>
        </w:numPr>
        <w:ind w:left="0" w:right="0" w:firstLine="709"/>
        <w:rPr/>
      </w:pPr>
      <w:r>
        <w:rPr/>
        <w:t xml:space="preserve"> </w:t>
      </w:r>
      <w:r>
        <w:rPr/>
        <w:t>При проведении аукциона любой участник аукциона также вправе подать предложение о цене договора независимо от "шага аукциона" при условии соблюдения требований, предусмотренных пунктом 8 настоящего раздела.</w:t>
      </w:r>
    </w:p>
    <w:p>
      <w:pPr>
        <w:pStyle w:val="ListNumber2"/>
        <w:numPr>
          <w:ilvl w:val="0"/>
          <w:numId w:val="0"/>
        </w:numPr>
        <w:ind w:left="0" w:right="0" w:firstLine="709"/>
        <w:rPr/>
      </w:pPr>
      <w:r>
        <w:rPr/>
        <w:t xml:space="preserve"> </w:t>
      </w:r>
      <w:r>
        <w:rPr/>
        <w:t>При проведении аукциона участники аукциона подают предложения о цене договора с учетом следующих требований:</w:t>
      </w:r>
    </w:p>
    <w:p>
      <w:pPr>
        <w:pStyle w:val="ListNumber3"/>
        <w:numPr>
          <w:ilvl w:val="0"/>
          <w:numId w:val="0"/>
        </w:numPr>
        <w:tabs>
          <w:tab w:val="clear" w:pos="708"/>
          <w:tab w:val="left" w:pos="993" w:leader="none"/>
        </w:tabs>
        <w:ind w:left="0" w:right="0" w:hanging="0"/>
        <w:rPr/>
      </w:pPr>
      <w:r>
        <w:rPr/>
        <w:t xml:space="preserve">       </w:t>
      </w:r>
      <w:r>
        <w:rPr/>
        <w:t>- участник аукциона не вправе подавать предложение о цене договора, равное предложению или большее чем предложение о цене договора, которые поданы таким участником аукциона ранее, а также предложение о цене договора, равное нулю;</w:t>
      </w:r>
    </w:p>
    <w:p>
      <w:pPr>
        <w:pStyle w:val="ListNumber3"/>
        <w:numPr>
          <w:ilvl w:val="0"/>
          <w:numId w:val="0"/>
        </w:numPr>
        <w:tabs>
          <w:tab w:val="clear" w:pos="708"/>
          <w:tab w:val="left" w:pos="993" w:leader="none"/>
        </w:tabs>
        <w:ind w:left="0" w:right="0" w:hanging="0"/>
        <w:rPr/>
      </w:pPr>
      <w:r>
        <w:rPr/>
        <w:t xml:space="preserve">        </w:t>
      </w:r>
      <w:r>
        <w:rPr/>
        <w:t xml:space="preserve">- участник аукциона не вправе подавать предложение о цене договора ниже чем текущее минимальное предложение о цене договора, сниженное в пределах "шага аукциона"; </w:t>
      </w:r>
    </w:p>
    <w:p>
      <w:pPr>
        <w:pStyle w:val="ListNumber3"/>
        <w:numPr>
          <w:ilvl w:val="0"/>
          <w:numId w:val="0"/>
        </w:numPr>
        <w:tabs>
          <w:tab w:val="clear" w:pos="708"/>
          <w:tab w:val="left" w:pos="993" w:leader="none"/>
        </w:tabs>
        <w:ind w:left="0" w:right="0" w:hanging="0"/>
        <w:rPr/>
      </w:pPr>
      <w:r>
        <w:rPr/>
        <w:t xml:space="preserve">        </w:t>
      </w:r>
      <w:r>
        <w:rPr/>
        <w:t>- участник аукциона не вправе подавать предложение о цене договора ниже чем текущее минимальное предложение о цене договора в случае, если такое предложение о цене договора подано этим же участником аукциона;</w:t>
      </w:r>
    </w:p>
    <w:p>
      <w:pPr>
        <w:pStyle w:val="ListNumber2"/>
        <w:numPr>
          <w:ilvl w:val="0"/>
          <w:numId w:val="0"/>
        </w:numPr>
        <w:ind w:left="0" w:right="0" w:firstLine="709"/>
        <w:rPr/>
      </w:pPr>
      <w:r>
        <w:rPr/>
        <w:t>- от начала проведения аукциона на электронной площадке до истечения срока подачи предложений о цене договора должны быть указаны в обязательном порядке все предложения о цене договора и время их поступления, а также время, оставшееся до истечения срока подачи предложений о цене договора.</w:t>
      </w:r>
    </w:p>
    <w:p>
      <w:pPr>
        <w:pStyle w:val="ListNumber2"/>
        <w:numPr>
          <w:ilvl w:val="0"/>
          <w:numId w:val="0"/>
        </w:numPr>
        <w:ind w:left="0" w:right="0" w:firstLine="709"/>
        <w:rPr/>
      </w:pPr>
      <w:r>
        <w:rPr/>
        <w:t xml:space="preserve"> </w:t>
      </w:r>
      <w:r>
        <w:rPr/>
        <w:t>При проведении аукциона устанавливается время приема предложений участников аукциона в электронной форме о цене договора, составляющее десять минут от начала проведения аукциона до истечения срока подачи предложений о цене договора, а также десять минут после поступления последнего предложения о цене договора. Время, оставшееся до истечения срока подачи предложений о цене договора, обновляется автоматически, с помощью программных и технических средств, обеспечивающих проведение аукциона, после снижения начальной (максимальной) цены договора или текущего минимального предложения о цене договора на аукцион. Если в течение указанного времени ни одного предложения о более низкой цене договора не поступило, аукцион автоматически, при помощи программных и технических средств, обеспечивающих его проведение, завершается.</w:t>
      </w:r>
    </w:p>
    <w:p>
      <w:pPr>
        <w:pStyle w:val="ListNumber2"/>
        <w:numPr>
          <w:ilvl w:val="0"/>
          <w:numId w:val="0"/>
        </w:numPr>
        <w:ind w:left="0" w:right="0" w:firstLine="709"/>
        <w:rPr/>
      </w:pPr>
      <w:r>
        <w:rPr/>
        <w:t xml:space="preserve"> </w:t>
      </w:r>
      <w:r>
        <w:rPr/>
        <w:t>Оператор электронной площадки обязан обеспечивать при проведении аукциона конфиденциальность данных об участниках аукциона.</w:t>
      </w:r>
    </w:p>
    <w:p>
      <w:pPr>
        <w:pStyle w:val="ListNumber2"/>
        <w:numPr>
          <w:ilvl w:val="0"/>
          <w:numId w:val="0"/>
        </w:numPr>
        <w:ind w:left="0" w:right="0" w:firstLine="709"/>
        <w:rPr/>
      </w:pPr>
      <w:r>
        <w:rPr/>
        <w:t>Во время проведения аукциона оператор электронной площадки обязан отклонить предложение о цене договора в момент его поступления, если оно не соответствует требованиям, предусмотренным настоящим разделом.</w:t>
      </w:r>
    </w:p>
    <w:p>
      <w:pPr>
        <w:pStyle w:val="ListNumber2"/>
        <w:numPr>
          <w:ilvl w:val="0"/>
          <w:numId w:val="0"/>
        </w:numPr>
        <w:ind w:left="0" w:right="0" w:firstLine="709"/>
        <w:rPr/>
      </w:pPr>
      <w:r>
        <w:rPr/>
        <w:t>Протокол проведения аукциона размещается оператором электронной площадки на электронной площадке в течение тридцати минут после окончания аукциона. В этом протоколе указываются дата подписания протокола,  наименование предмета и номер аукциона (лота), количество поданных заявок на участие в аукционе, а также дата и время регистрации каждой такой заявки адрес электронной площадки, дата, время начала и окончания аукциона, начальная (максимальная) цена договора, сведения об участниках закупки, все минимальные предложения о цене договора, сделанные участниками аукциона и ранжированные по мере убывания  с указанием порядковых номеров, присвоенных заявкам на участие в аукционе, которые поданы участниками аукциона, сделавшими соответствующие предложения о цене договора, и с указанием времени поступления данных предложений, сведения об участниках аукциона, наименование (для юридического лица) или фамилия, имя, отчество (при наличии) (для физического лица) участника аукциона, с которым планируется заключить договор (в случае, если по итогам закупки определен ее победитель), в том числе единственного участника, с которым планируется заключить договор.</w:t>
      </w:r>
    </w:p>
    <w:p>
      <w:pPr>
        <w:pStyle w:val="ListNumber2"/>
        <w:numPr>
          <w:ilvl w:val="0"/>
          <w:numId w:val="0"/>
        </w:numPr>
        <w:ind w:left="0" w:right="0" w:firstLine="709"/>
        <w:rPr/>
      </w:pPr>
      <w:r>
        <w:rPr/>
        <w:t>Участник аукциона, который предложил наиболее низкую цену договора, признается победителем аукциона в электронной форме.</w:t>
      </w:r>
    </w:p>
    <w:p>
      <w:pPr>
        <w:pStyle w:val="ListNumber2"/>
        <w:numPr>
          <w:ilvl w:val="0"/>
          <w:numId w:val="0"/>
        </w:numPr>
        <w:ind w:left="0" w:right="0" w:firstLine="709"/>
        <w:rPr/>
      </w:pPr>
      <w:r>
        <w:rPr/>
        <w:t>В случае, если в течение десяти минут после начала проведения аукциона ни один из участников аукциона не подал предложение о цене договора, или только один из участников подал предложение о цене договора, аукцион признается несостоявшимся. В течение тридцати минут после окончания указанного времени оператор электронной площадки размещает на электронной площадке протокол о признании аукциона несостоявшимся и направляет его заказчику. В этом протоколе указываются адрес электронной площадки, дата, время начала и окончания аукциона, начальная (максимальная) цена договора, а в случае, если только один из участников подал предложение о цене договора, то в протоколе указывается предложенная этим участником цена.</w:t>
      </w:r>
    </w:p>
    <w:p>
      <w:pPr>
        <w:pStyle w:val="ListNumber2"/>
        <w:numPr>
          <w:ilvl w:val="0"/>
          <w:numId w:val="0"/>
        </w:numPr>
        <w:ind w:left="0" w:right="0" w:firstLine="709"/>
        <w:rPr/>
      </w:pPr>
      <w:r>
        <w:rPr/>
        <w:t xml:space="preserve">В случае, если в течение 10 минут после начала проведения аукциона только один из участников аукциона подал предложение о цене договора, заказчик в течение 5 дней с момента размещения на электронной площадке протокола направляет оператору электронной площадки без подписи заказчика проект договора. При этом договор заключается на условиях, предусмотренных документацией об аукционе, по цене, указанной в протоколе о признании аукциона несостоявшимся в соответствии с пунктом 13 настоящего раздела. В течение одного часа с момента получения проекта договора оператор электронной площадки направляет проект договора единственному подавшему предложение о цене договора участнику аукциона, с которым заключается договор. Единственный подавший предложение о цене договора участник аукциона обязан подписать договор в течение 5 дней с момента направления ему проекта оператором электронной площади и направить договор оператору электронной площадки. </w:t>
      </w:r>
    </w:p>
    <w:p>
      <w:pPr>
        <w:pStyle w:val="ListNumber2"/>
        <w:numPr>
          <w:ilvl w:val="0"/>
          <w:numId w:val="0"/>
        </w:numPr>
        <w:ind w:left="0" w:right="0" w:firstLine="709"/>
        <w:rPr/>
      </w:pPr>
      <w:r>
        <w:rPr/>
      </w:r>
    </w:p>
    <w:p>
      <w:pPr>
        <w:pStyle w:val="ListNumber2"/>
        <w:numPr>
          <w:ilvl w:val="0"/>
          <w:numId w:val="0"/>
        </w:numPr>
        <w:ind w:left="0" w:right="0" w:firstLine="851"/>
        <w:jc w:val="center"/>
        <w:rPr>
          <w:b/>
        </w:rPr>
      </w:pPr>
      <w:r>
        <w:rPr>
          <w:b/>
        </w:rPr>
        <w:t>Раздел 2.12.</w:t>
      </w:r>
      <w:r>
        <w:rPr/>
        <w:t xml:space="preserve"> </w:t>
      </w:r>
      <w:r>
        <w:rPr>
          <w:b/>
        </w:rPr>
        <w:t xml:space="preserve">Порядок рассмотрения вторых частей заявки. </w:t>
      </w:r>
    </w:p>
    <w:p>
      <w:pPr>
        <w:pStyle w:val="ListNumber2"/>
        <w:numPr>
          <w:ilvl w:val="0"/>
          <w:numId w:val="0"/>
        </w:numPr>
        <w:ind w:left="142" w:right="0" w:firstLine="567"/>
        <w:rPr/>
      </w:pPr>
      <w:r>
        <w:rPr/>
        <w:t xml:space="preserve"> </w:t>
      </w:r>
      <w:r>
        <w:rPr/>
        <w:t xml:space="preserve">Сроки рассмотрения вторых частей заявок не могут быть ранее сроков: </w:t>
      </w:r>
    </w:p>
    <w:p>
      <w:pPr>
        <w:pStyle w:val="ListNumber2"/>
        <w:numPr>
          <w:ilvl w:val="0"/>
          <w:numId w:val="0"/>
        </w:numPr>
        <w:ind w:left="142" w:right="0" w:firstLine="567"/>
        <w:rPr/>
      </w:pPr>
      <w:r>
        <w:rPr/>
        <w:t>- размещения Заказчиком в единой информационной системе протокола, составляемого в ходе проведения такого аукциона по результатам рассмотрения первых частей заявок на участие в них;</w:t>
      </w:r>
    </w:p>
    <w:p>
      <w:pPr>
        <w:pStyle w:val="ListNumber2"/>
        <w:numPr>
          <w:ilvl w:val="0"/>
          <w:numId w:val="0"/>
        </w:numPr>
        <w:ind w:left="142" w:right="0" w:firstLine="567"/>
        <w:rPr/>
      </w:pPr>
      <w:r>
        <w:rPr/>
        <w:t>- проведения процедуры подачи участниками такого аукциона предложений о цене договора с учетом требований части 7 статьи 3.4. Закона № 223-ФЗ</w:t>
      </w:r>
    </w:p>
    <w:p>
      <w:pPr>
        <w:pStyle w:val="ListNumber2"/>
        <w:numPr>
          <w:ilvl w:val="0"/>
          <w:numId w:val="0"/>
        </w:numPr>
        <w:ind w:left="142" w:right="0" w:firstLine="567"/>
        <w:rPr/>
      </w:pPr>
      <w:r>
        <w:rPr/>
        <w:t>Комиссия принимает решение о несоответствии второй части заявки на участие в аукционе в электронной форме в следующих случаях:</w:t>
      </w:r>
    </w:p>
    <w:p>
      <w:pPr>
        <w:pStyle w:val="ListNumber2"/>
        <w:numPr>
          <w:ilvl w:val="0"/>
          <w:numId w:val="0"/>
        </w:numPr>
        <w:ind w:left="142" w:right="0" w:firstLine="567"/>
        <w:rPr/>
      </w:pPr>
      <w:r>
        <w:rPr/>
        <w:t>- непредставления документов и информации, предусмотренных документацией о закупке;</w:t>
      </w:r>
    </w:p>
    <w:p>
      <w:pPr>
        <w:pStyle w:val="ListNumber2"/>
        <w:numPr>
          <w:ilvl w:val="0"/>
          <w:numId w:val="0"/>
        </w:numPr>
        <w:ind w:left="142" w:right="0" w:firstLine="567"/>
        <w:rPr/>
      </w:pPr>
      <w:r>
        <w:rPr/>
        <w:t>- несоответствия указанных документов и информации требованиям, установленным документацией о закупке;</w:t>
      </w:r>
    </w:p>
    <w:p>
      <w:pPr>
        <w:pStyle w:val="ListNumber2"/>
        <w:numPr>
          <w:ilvl w:val="0"/>
          <w:numId w:val="0"/>
        </w:numPr>
        <w:ind w:left="142" w:right="0" w:firstLine="567"/>
        <w:rPr/>
      </w:pPr>
      <w:r>
        <w:rPr/>
        <w:t>- наличия в указанных документах недостоверной информации об участнике закупке и(или) о предлагаемых им товаре, работе, услуге;</w:t>
      </w:r>
    </w:p>
    <w:p>
      <w:pPr>
        <w:pStyle w:val="ListNumber2"/>
        <w:numPr>
          <w:ilvl w:val="0"/>
          <w:numId w:val="0"/>
        </w:numPr>
        <w:ind w:left="142" w:right="0" w:firstLine="567"/>
        <w:rPr/>
      </w:pPr>
      <w:r>
        <w:rPr/>
        <w:t>- несоответствия участника закупки требованиям, установленным документацией;</w:t>
      </w:r>
    </w:p>
    <w:p>
      <w:pPr>
        <w:pStyle w:val="ListNumber2"/>
        <w:numPr>
          <w:ilvl w:val="0"/>
          <w:numId w:val="0"/>
        </w:numPr>
        <w:ind w:left="142" w:right="0" w:firstLine="567"/>
        <w:rPr/>
      </w:pPr>
      <w:r>
        <w:rPr/>
        <w:t xml:space="preserve"> </w:t>
      </w:r>
      <w:r>
        <w:rPr/>
        <w:t>Принятие решения о несоответствии заявки на участие в аукционе требованиям, установленным документацией о закупке, по иным основаниям не допускается.</w:t>
      </w:r>
    </w:p>
    <w:p>
      <w:pPr>
        <w:pStyle w:val="ListNumber2"/>
        <w:numPr>
          <w:ilvl w:val="0"/>
          <w:numId w:val="0"/>
        </w:numPr>
        <w:ind w:left="142" w:right="0" w:firstLine="567"/>
        <w:rPr/>
      </w:pPr>
      <w:r>
        <w:rPr/>
        <w:t>При подведении итогов аукциона на основании результатов рассмотрения вторых частей заявок на участие в аукционе, а также информации и документов, направленных Заказчику оператором электронной площадки, комиссия присваивает каждой такой заявке порядковый номер в порядке уменьшения степени выгодности содержащихся в них ценовых предложений. Заявке на участие в аукционе,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pPr>
        <w:pStyle w:val="ListNumber2"/>
        <w:numPr>
          <w:ilvl w:val="0"/>
          <w:numId w:val="0"/>
        </w:numPr>
        <w:ind w:left="142" w:right="0" w:firstLine="567"/>
        <w:rPr/>
      </w:pPr>
      <w:r>
        <w:rPr/>
        <w:t>В день подведения комиссией итогов аукциона Заказчик составляет итоговый протокол и размещает его на электронной площадке и в единой информационной системе не позднее чем через три дня со дня подписания протокола.</w:t>
      </w:r>
    </w:p>
    <w:p>
      <w:pPr>
        <w:pStyle w:val="ListNumber2"/>
        <w:numPr>
          <w:ilvl w:val="0"/>
          <w:numId w:val="0"/>
        </w:numPr>
        <w:ind w:left="142" w:right="0" w:firstLine="567"/>
        <w:rPr/>
      </w:pPr>
      <w:r>
        <w:rPr/>
      </w:r>
    </w:p>
    <w:p>
      <w:pPr>
        <w:pStyle w:val="Style37"/>
        <w:numPr>
          <w:ilvl w:val="0"/>
          <w:numId w:val="0"/>
        </w:numPr>
        <w:ind w:left="0" w:right="0" w:firstLine="993"/>
        <w:rPr>
          <w:color w:val="000000"/>
        </w:rPr>
      </w:pPr>
      <w:r>
        <w:rPr/>
        <w:t>Раздел 2.13. Обеспечение исполнения договора, срок и порядок его предоставления.</w:t>
      </w:r>
    </w:p>
    <w:p>
      <w:pPr>
        <w:pStyle w:val="Normal"/>
        <w:ind w:left="0" w:right="0" w:hanging="0"/>
        <w:rPr>
          <w:color w:val="000000"/>
          <w:lang w:eastAsia="ar-SA"/>
        </w:rPr>
      </w:pPr>
      <w:r>
        <w:rPr>
          <w:color w:val="000000"/>
          <w:lang w:eastAsia="ar-SA"/>
        </w:rPr>
        <w:t xml:space="preserve">          </w:t>
      </w:r>
      <w:r>
        <w:rPr>
          <w:color w:val="000000"/>
          <w:lang w:eastAsia="ar-SA"/>
        </w:rPr>
        <w:t>Договор заключается после предоставления участником закупки, с которым заключается договор, обеспечения исполнения договора.</w:t>
      </w:r>
    </w:p>
    <w:p>
      <w:pPr>
        <w:pStyle w:val="Normal"/>
        <w:ind w:left="0" w:right="0" w:firstLine="540"/>
        <w:rPr>
          <w:color w:val="000000"/>
          <w:lang w:eastAsia="ar-SA"/>
        </w:rPr>
      </w:pPr>
      <w:r>
        <w:rPr>
          <w:color w:val="000000"/>
          <w:lang w:eastAsia="ar-SA"/>
        </w:rPr>
        <w:t>В течение пяти дней с даты размещения заказчиком в единой информационной системе проекта договора</w:t>
      </w:r>
      <w:r>
        <w:rPr/>
        <w:t xml:space="preserve"> </w:t>
      </w:r>
      <w:r>
        <w:rPr>
          <w:color w:val="000000"/>
          <w:lang w:eastAsia="ar-SA"/>
        </w:rPr>
        <w:t xml:space="preserve">победитель аукциона </w:t>
      </w:r>
      <w:r>
        <w:rPr>
          <w:color w:val="000000"/>
        </w:rPr>
        <w:t>подписывает усиленной электронной подписью, указанный проект</w:t>
      </w:r>
      <w:r>
        <w:rPr>
          <w:color w:val="000000"/>
          <w:lang w:eastAsia="ar-SA"/>
        </w:rPr>
        <w:t xml:space="preserve"> договора</w:t>
      </w:r>
      <w:r>
        <w:rPr>
          <w:color w:val="000000"/>
        </w:rPr>
        <w:t xml:space="preserve">, размещает на электронной площадке подписанный проект </w:t>
      </w:r>
      <w:r>
        <w:rPr>
          <w:color w:val="000000"/>
          <w:lang w:eastAsia="ar-SA"/>
        </w:rPr>
        <w:t>договора</w:t>
      </w:r>
      <w:r>
        <w:rPr>
          <w:color w:val="000000"/>
        </w:rPr>
        <w:t xml:space="preserve"> и документ, подтверждающий предоставление обеспечения исполнения </w:t>
      </w:r>
      <w:r>
        <w:rPr>
          <w:color w:val="000000"/>
          <w:lang w:eastAsia="ar-SA"/>
        </w:rPr>
        <w:t>договора</w:t>
      </w:r>
      <w:r>
        <w:rPr>
          <w:color w:val="000000"/>
        </w:rPr>
        <w:t>.</w:t>
      </w:r>
    </w:p>
    <w:p>
      <w:pPr>
        <w:pStyle w:val="Normal"/>
        <w:ind w:left="0" w:right="0" w:firstLine="540"/>
        <w:rPr>
          <w:color w:val="000000"/>
        </w:rPr>
      </w:pPr>
      <w:r>
        <w:rPr>
          <w:color w:val="000000"/>
          <w:lang w:eastAsia="ar-SA"/>
        </w:rPr>
        <w:t>В случае, если при проведении аукциона начальная (максимальная) цена договора</w:t>
      </w:r>
      <w:r>
        <w:rPr/>
        <w:t xml:space="preserve"> </w:t>
      </w:r>
      <w:r>
        <w:rPr>
          <w:color w:val="000000"/>
          <w:lang w:eastAsia="ar-SA"/>
        </w:rPr>
        <w:t>составляет более чем пятнадцать миллионов рублей и цена договора снижена на двадцать пять процентов и более от начальной (максимальной) цены договора, победитель такого аукциона предоставляет обеспечение исполнения договора</w:t>
      </w:r>
      <w:r>
        <w:rPr/>
        <w:t xml:space="preserve"> </w:t>
      </w:r>
      <w:r>
        <w:rPr>
          <w:color w:val="000000"/>
          <w:lang w:eastAsia="ar-SA"/>
        </w:rPr>
        <w:t>в размере, превышающем в полтора раза размер обеспечения исполнения договора, указанный в документации о проведении такого аукциона, но не менее чем в размере аванса (если договором предусмотрена выплата аванса). В случае, если при проведении аукциона начальная (максимальная) цена договора</w:t>
      </w:r>
      <w:r>
        <w:rPr/>
        <w:t xml:space="preserve"> </w:t>
      </w:r>
      <w:r>
        <w:rPr>
          <w:color w:val="000000"/>
          <w:lang w:eastAsia="ar-SA"/>
        </w:rPr>
        <w:t>составляет пятнадцать миллионов рублей и менее</w:t>
      </w:r>
      <w:r>
        <w:rPr>
          <w:color w:val="000000"/>
        </w:rPr>
        <w:t xml:space="preserve"> и участником закупки, с которым заключается </w:t>
      </w:r>
      <w:r>
        <w:rPr>
          <w:color w:val="000000"/>
          <w:lang w:eastAsia="ar-SA"/>
        </w:rPr>
        <w:t>договор</w:t>
      </w:r>
      <w:r>
        <w:rPr>
          <w:color w:val="000000"/>
        </w:rPr>
        <w:t xml:space="preserve">, предложена цена договора, которая на двадцать пять и более процентов ниже начальной (максимальной) цены </w:t>
      </w:r>
      <w:r>
        <w:rPr>
          <w:color w:val="000000"/>
          <w:lang w:eastAsia="ar-SA"/>
        </w:rPr>
        <w:t>договора</w:t>
      </w:r>
      <w:r>
        <w:rPr>
          <w:color w:val="000000"/>
        </w:rPr>
        <w:t xml:space="preserve"> п</w:t>
      </w:r>
      <w:r>
        <w:rPr>
          <w:color w:val="000000"/>
          <w:lang w:eastAsia="ar-SA"/>
        </w:rPr>
        <w:t>обедитель такого аукциона предоставляет обеспечение исполнения договора в размере, превышающем в полтора раза размер обеспечения исполнения договора , указанный в документации о проведении аукциона, но не менее чем в размере аванса (если договором предусмотрена выплата аванса) или информацию, подтверждающую добросовестность такого участника,</w:t>
      </w:r>
      <w:r>
        <w:rPr>
          <w:b/>
          <w:color w:val="000000"/>
          <w:lang w:eastAsia="ar-SA"/>
        </w:rPr>
        <w:t xml:space="preserve"> </w:t>
      </w:r>
      <w:r>
        <w:rPr>
          <w:color w:val="000000"/>
          <w:lang w:eastAsia="ar-SA"/>
        </w:rPr>
        <w:t>с  одновременным предоставлением  таким  участником обеспечения исполнения договора  в размере обеспечения исполнения договора, указанном в документации об аукционе.</w:t>
      </w:r>
    </w:p>
    <w:p>
      <w:pPr>
        <w:pStyle w:val="Normal"/>
        <w:ind w:left="0" w:right="0" w:hanging="0"/>
        <w:rPr>
          <w:color w:val="000000"/>
        </w:rPr>
      </w:pPr>
      <w:r>
        <w:rPr>
          <w:color w:val="000000"/>
        </w:rPr>
        <w:t xml:space="preserve">         </w:t>
      </w:r>
      <w:r>
        <w:rPr>
          <w:color w:val="000000"/>
        </w:rPr>
        <w:t>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 договора, указанной в извещении об осуществлении закупки и документации о закупке.</w:t>
      </w:r>
    </w:p>
    <w:p>
      <w:pPr>
        <w:pStyle w:val="Normal"/>
        <w:ind w:left="0" w:right="0" w:hanging="0"/>
        <w:rPr>
          <w:color w:val="000000"/>
        </w:rPr>
      </w:pPr>
      <w:r>
        <w:rPr>
          <w:color w:val="000000"/>
        </w:rPr>
        <w:t xml:space="preserve">        </w:t>
      </w:r>
      <w:r>
        <w:rPr>
          <w:color w:val="000000"/>
          <w:lang w:eastAsia="ar-SA"/>
        </w:rPr>
        <w:t>Исполнение договора, гарантийных обязательств могут обеспечиваться предоставлением независимой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договора,</w:t>
      </w:r>
      <w:r>
        <w:rPr>
          <w:color w:val="000000"/>
        </w:rPr>
        <w:t xml:space="preserve"> гарантийных обязательств</w:t>
      </w:r>
      <w:r>
        <w:rPr>
          <w:color w:val="000000"/>
          <w:lang w:eastAsia="ar-SA"/>
        </w:rPr>
        <w:t xml:space="preserve"> определяется участником закупки, с которым заключается договор, самостоятельно. </w:t>
      </w:r>
      <w:r>
        <w:rPr>
          <w:color w:val="000000"/>
        </w:rPr>
        <w:t xml:space="preserve">При этом срок действия независимой гарантии должен превышать предусмотренный </w:t>
      </w:r>
      <w:r>
        <w:rPr>
          <w:color w:val="000000"/>
          <w:lang w:eastAsia="ar-SA"/>
        </w:rPr>
        <w:t>договором</w:t>
      </w:r>
      <w:r>
        <w:rPr>
          <w:color w:val="000000"/>
        </w:rPr>
        <w:t xml:space="preserve">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w:t>
      </w:r>
      <w:r>
        <w:rPr>
          <w:color w:val="000000"/>
          <w:u w:val="none"/>
        </w:rPr>
        <w:t xml:space="preserve">ии со </w:t>
      </w:r>
      <w:hyperlink r:id="rId3">
        <w:r>
          <w:rPr>
            <w:rStyle w:val="-"/>
            <w:color w:val="000000"/>
            <w:u w:val="none"/>
          </w:rPr>
          <w:t>статьей 95</w:t>
        </w:r>
      </w:hyperlink>
      <w:r>
        <w:rPr>
          <w:color w:val="000000"/>
          <w:u w:val="none"/>
        </w:rPr>
        <w:t xml:space="preserve"> 44 - ФЗ. Размер обеспечения гарантийных обязательств, </w:t>
      </w:r>
      <w:r>
        <w:rPr>
          <w:color w:val="000000"/>
          <w:u w:val="none"/>
          <w:lang w:eastAsia="ar-SA"/>
        </w:rPr>
        <w:t>исполнения договора</w:t>
      </w:r>
      <w:r>
        <w:rPr>
          <w:color w:val="000000"/>
          <w:u w:val="none"/>
        </w:rPr>
        <w:t xml:space="preserve"> не может превышать 5 процентов начальной (максимальной) цены договора.</w:t>
      </w:r>
    </w:p>
    <w:p>
      <w:pPr>
        <w:pStyle w:val="Normal"/>
        <w:ind w:left="0" w:right="0" w:hanging="0"/>
        <w:rPr/>
      </w:pPr>
      <w:r>
        <w:rPr>
          <w:color w:val="000000"/>
          <w:u w:val="none"/>
        </w:rPr>
        <w:t xml:space="preserve">        </w:t>
      </w:r>
      <w:r>
        <w:rPr>
          <w:color w:val="000000"/>
          <w:u w:val="none"/>
        </w:rPr>
        <w:t xml:space="preserve">В ходе исполнения  </w:t>
      </w:r>
      <w:r>
        <w:rPr>
          <w:color w:val="000000"/>
          <w:u w:val="none"/>
          <w:lang w:eastAsia="ar-SA"/>
        </w:rPr>
        <w:t>договора</w:t>
      </w:r>
      <w:r>
        <w:rPr>
          <w:color w:val="000000"/>
          <w:u w:val="none"/>
        </w:rPr>
        <w:t xml:space="preserve"> поставщик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в порядке и случаях, которые предусмотрены </w:t>
      </w:r>
      <w:hyperlink r:id="rId4">
        <w:r>
          <w:rPr>
            <w:rStyle w:val="-"/>
            <w:color w:val="000000"/>
            <w:u w:val="none"/>
          </w:rPr>
          <w:t>частями 7.2</w:t>
        </w:r>
      </w:hyperlink>
      <w:r>
        <w:rPr>
          <w:color w:val="000000"/>
          <w:u w:val="none"/>
        </w:rPr>
        <w:t xml:space="preserve"> и </w:t>
      </w:r>
      <w:hyperlink r:id="rId5">
        <w:r>
          <w:rPr>
            <w:rStyle w:val="-"/>
            <w:color w:val="000000"/>
            <w:u w:val="none"/>
          </w:rPr>
          <w:t>7.3</w:t>
        </w:r>
      </w:hyperlink>
      <w:r>
        <w:rPr>
          <w:color w:val="000000"/>
          <w:u w:val="none"/>
        </w:rPr>
        <w:t xml:space="preserve"> статьи 96 44 - ФЗ.  </w:t>
      </w:r>
    </w:p>
    <w:p>
      <w:pPr>
        <w:pStyle w:val="Style37"/>
        <w:numPr>
          <w:ilvl w:val="0"/>
          <w:numId w:val="0"/>
        </w:numPr>
        <w:ind w:left="0" w:right="0" w:hanging="0"/>
        <w:rPr>
          <w:color w:val="000000"/>
          <w:sz w:val="20"/>
          <w:szCs w:val="20"/>
        </w:rPr>
      </w:pPr>
      <w:r>
        <w:rPr>
          <w:color w:val="000000"/>
          <w:sz w:val="20"/>
          <w:szCs w:val="20"/>
        </w:rPr>
      </w:r>
    </w:p>
    <w:p>
      <w:pPr>
        <w:pStyle w:val="Normal"/>
        <w:ind w:left="0" w:right="0" w:firstLine="993"/>
        <w:rPr>
          <w:rFonts w:ascii="Calibri" w:hAnsi="Calibri" w:cs="Calibri"/>
          <w:b/>
          <w:color w:val="000000"/>
          <w:lang w:eastAsia="ar-SA"/>
        </w:rPr>
      </w:pPr>
      <w:r>
        <w:rPr>
          <w:b/>
          <w:color w:val="000000"/>
          <w:lang w:eastAsia="ar-SA"/>
        </w:rPr>
        <w:t xml:space="preserve">Раздел 2.14. </w:t>
      </w:r>
      <w:r>
        <w:rPr>
          <w:b/>
          <w:color w:val="000000"/>
        </w:rPr>
        <w:t xml:space="preserve">Условия независимой гарантии, предоставляемой в качестве </w:t>
      </w:r>
      <w:r>
        <w:rPr>
          <w:b/>
          <w:color w:val="000000"/>
          <w:lang w:eastAsia="ar-SA"/>
        </w:rPr>
        <w:t xml:space="preserve">обеспечения заявки, обеспечения исполнения договора, обеспечения </w:t>
      </w:r>
      <w:r>
        <w:rPr>
          <w:b/>
          <w:color w:val="000000"/>
        </w:rPr>
        <w:t>гарантийных обязательств</w:t>
      </w:r>
      <w:r>
        <w:rPr>
          <w:b/>
          <w:color w:val="000000"/>
          <w:lang w:eastAsia="ar-SA"/>
        </w:rPr>
        <w:t>.</w:t>
      </w:r>
    </w:p>
    <w:p>
      <w:pPr>
        <w:pStyle w:val="Normal"/>
        <w:ind w:left="0" w:right="0" w:firstLine="709"/>
        <w:rPr/>
      </w:pPr>
      <w:r>
        <w:rPr/>
        <w:t xml:space="preserve">Обеспечение исполнения </w:t>
      </w:r>
      <w:bookmarkStart w:id="2" w:name="_Hlk198826361"/>
      <w:r>
        <w:rPr>
          <w:color w:val="000000"/>
          <w:lang w:eastAsia="ar-SA"/>
        </w:rPr>
        <w:t>договора</w:t>
      </w:r>
      <w:r>
        <w:rPr/>
        <w:t xml:space="preserve"> </w:t>
      </w:r>
      <w:bookmarkEnd w:id="2"/>
      <w:r>
        <w:rPr/>
        <w:t>должно быть предоставлено участником процедуры закупки до заключения договора. В случае если до заключения договора и в срок, установленный документацией процедуры закупки, победитель процедуры закупки или иной участник, с которым заключается</w:t>
      </w:r>
      <w:r>
        <w:rPr>
          <w:color w:val="000000"/>
          <w:lang w:eastAsia="ar-SA"/>
        </w:rPr>
        <w:t xml:space="preserve"> договор</w:t>
      </w:r>
      <w:r>
        <w:rPr/>
        <w:t>, не предоставит обеспечение исполнения</w:t>
      </w:r>
      <w:r>
        <w:rPr>
          <w:color w:val="000000"/>
          <w:lang w:eastAsia="ar-SA"/>
        </w:rPr>
        <w:t xml:space="preserve"> договора</w:t>
      </w:r>
      <w:r>
        <w:rPr/>
        <w:t>, такой участник (победитель) признается уклонившимся от заключения</w:t>
      </w:r>
      <w:r>
        <w:rPr>
          <w:color w:val="000000"/>
          <w:lang w:eastAsia="ar-SA"/>
        </w:rPr>
        <w:t xml:space="preserve"> договора</w:t>
      </w:r>
      <w:r>
        <w:rPr/>
        <w:t>.</w:t>
      </w:r>
    </w:p>
    <w:p>
      <w:pPr>
        <w:pStyle w:val="Normal"/>
        <w:shd w:val="clear" w:color="auto" w:fill="FFFFFF"/>
        <w:ind w:left="0" w:right="0" w:firstLine="709"/>
        <w:rPr>
          <w:rFonts w:eastAsia="Calibri"/>
        </w:rPr>
      </w:pPr>
      <w:r>
        <w:rPr/>
        <w:t xml:space="preserve">Способ обеспечения исполнения </w:t>
      </w:r>
      <w:r>
        <w:rPr>
          <w:color w:val="000000"/>
          <w:lang w:eastAsia="ar-SA"/>
        </w:rPr>
        <w:t>договора</w:t>
      </w:r>
      <w:r>
        <w:rPr/>
        <w:t xml:space="preserve"> участником закупки, с которым заключается</w:t>
      </w:r>
      <w:r>
        <w:rPr>
          <w:color w:val="000000"/>
          <w:lang w:eastAsia="ar-SA"/>
        </w:rPr>
        <w:t xml:space="preserve"> договор</w:t>
      </w:r>
      <w:r>
        <w:rPr/>
        <w:t>, определяется самостоятельно. Исполнение</w:t>
      </w:r>
      <w:r>
        <w:rPr>
          <w:color w:val="000000"/>
          <w:lang w:eastAsia="ar-SA"/>
        </w:rPr>
        <w:t xml:space="preserve"> договора</w:t>
      </w:r>
      <w:r>
        <w:rPr/>
        <w:t>, а также исполнение гарантийных обязательств, предусмотренных</w:t>
      </w:r>
      <w:r>
        <w:rPr>
          <w:color w:val="000000"/>
          <w:lang w:eastAsia="ar-SA"/>
        </w:rPr>
        <w:t xml:space="preserve"> договором</w:t>
      </w:r>
      <w:r>
        <w:rPr/>
        <w:t>, могут обеспечиваться предоставлением независимой гарантии или внесением денежных средств на расчетный счет Заказчика, указанный в документации о закупке (проекте договора).</w:t>
      </w:r>
    </w:p>
    <w:p>
      <w:pPr>
        <w:pStyle w:val="Normal"/>
        <w:numPr>
          <w:ilvl w:val="0"/>
          <w:numId w:val="0"/>
        </w:numPr>
        <w:spacing w:before="0" w:after="200"/>
        <w:ind w:left="0" w:right="0" w:hanging="0"/>
        <w:contextualSpacing/>
        <w:jc w:val="left"/>
        <w:rPr/>
      </w:pPr>
      <w:r>
        <w:rPr>
          <w:rFonts w:eastAsia="Calibri"/>
        </w:rPr>
        <w:t xml:space="preserve">            </w:t>
      </w:r>
      <w:r>
        <w:rPr>
          <w:rFonts w:eastAsia="Calibri"/>
        </w:rPr>
        <w:t>Реквизиты расчетного счета для внесения денежных средств:</w:t>
      </w:r>
    </w:p>
    <w:p>
      <w:pPr>
        <w:pStyle w:val="Normal"/>
        <w:ind w:left="0" w:right="0" w:firstLine="709"/>
        <w:rPr>
          <w:rFonts w:eastAsia="Calibri"/>
          <w:lang w:eastAsia="en-US"/>
        </w:rPr>
      </w:pPr>
      <w:r>
        <w:rPr/>
        <w:t>Банк получателя</w:t>
      </w:r>
    </w:p>
    <w:p>
      <w:pPr>
        <w:pStyle w:val="Normal"/>
        <w:ind w:left="72" w:right="0" w:hanging="0"/>
        <w:jc w:val="left"/>
        <w:rPr/>
      </w:pPr>
      <w:r>
        <w:rPr>
          <w:rFonts w:eastAsia="Calibri"/>
          <w:lang w:eastAsia="en-US"/>
        </w:rPr>
        <w:t>ОТДЕЛЕНИЕ-НБ РЕСПУБЛИКА ТАТАРСТАН БАНКА РОССИИ//УФК по Республике Татарстан г. Казань</w:t>
      </w:r>
    </w:p>
    <w:p>
      <w:pPr>
        <w:pStyle w:val="Normal"/>
        <w:ind w:left="0" w:right="0" w:firstLine="709"/>
        <w:rPr/>
      </w:pPr>
      <w:r>
        <w:rPr/>
        <w:t xml:space="preserve">БИК 019205400 </w:t>
      </w:r>
    </w:p>
    <w:p>
      <w:pPr>
        <w:pStyle w:val="Normal"/>
        <w:ind w:left="0" w:right="0" w:firstLine="709"/>
        <w:rPr/>
      </w:pPr>
      <w:r>
        <w:rPr/>
        <w:t xml:space="preserve">Рас./счет  </w:t>
      </w:r>
      <w:r>
        <w:rPr>
          <w:rFonts w:eastAsia="Calibri"/>
          <w:lang w:eastAsia="en-US"/>
        </w:rPr>
        <w:t>03224643920000001101</w:t>
      </w:r>
      <w:r>
        <w:rPr/>
        <w:tab/>
        <w:tab/>
      </w:r>
    </w:p>
    <w:p>
      <w:pPr>
        <w:pStyle w:val="Normal"/>
        <w:ind w:left="0" w:right="0" w:firstLine="709"/>
        <w:rPr/>
      </w:pPr>
      <w:r>
        <w:rPr/>
        <w:t>ИНН/КПП 1660142081/166001001</w:t>
        <w:tab/>
      </w:r>
    </w:p>
    <w:p>
      <w:pPr>
        <w:pStyle w:val="Normal"/>
        <w:ind w:left="0" w:right="0" w:firstLine="709"/>
        <w:rPr>
          <w:rFonts w:eastAsia="Calibri"/>
          <w:lang w:eastAsia="en-US"/>
        </w:rPr>
      </w:pPr>
      <w:r>
        <w:rPr/>
        <w:t xml:space="preserve">Кор/счет </w:t>
      </w:r>
      <w:r>
        <w:rPr>
          <w:rFonts w:eastAsia="Calibri"/>
          <w:lang w:eastAsia="en-US"/>
        </w:rPr>
        <w:t>40102810445370000079</w:t>
      </w:r>
    </w:p>
    <w:p>
      <w:pPr>
        <w:pStyle w:val="Normal"/>
        <w:ind w:left="0" w:right="0" w:firstLine="709"/>
        <w:rPr/>
      </w:pPr>
      <w:r>
        <w:rPr>
          <w:rFonts w:eastAsia="Calibri"/>
          <w:lang w:eastAsia="en-US"/>
        </w:rPr>
        <w:t>ЛР007040046-ДиспЦ</w:t>
      </w:r>
    </w:p>
    <w:p>
      <w:pPr>
        <w:pStyle w:val="Normal"/>
        <w:ind w:left="0" w:right="0" w:firstLine="709"/>
        <w:rPr/>
      </w:pPr>
      <w:r>
        <w:rPr/>
        <w:t>Получатель:  ГАУ РТ «Диспетчерский центр Министерства здравоохранения Республики Татарстан»</w:t>
        <w:tab/>
      </w:r>
    </w:p>
    <w:p>
      <w:pPr>
        <w:pStyle w:val="Normal"/>
        <w:shd w:val="clear" w:color="auto" w:fill="FFFFFF"/>
        <w:ind w:left="0" w:right="0" w:firstLine="709"/>
        <w:rPr/>
      </w:pPr>
      <w:r>
        <w:rPr/>
        <w:t>Назначение платежа: Обеспечение договора заключенного по результатам  закупки № _______ (</w:t>
      </w:r>
      <w:r>
        <w:rPr>
          <w:i/>
        </w:rPr>
        <w:t>указать номер закупки</w:t>
      </w:r>
      <w:r>
        <w:rPr/>
        <w:t>) .</w:t>
      </w:r>
    </w:p>
    <w:p>
      <w:pPr>
        <w:pStyle w:val="Normal"/>
        <w:shd w:val="clear" w:color="auto" w:fill="FFFFFF"/>
        <w:ind w:left="0" w:right="0" w:firstLine="709"/>
        <w:rPr/>
      </w:pPr>
      <w:r>
        <w:rPr/>
        <w:t xml:space="preserve">В случае если в качестве обеспечения исполнения </w:t>
      </w:r>
      <w:r>
        <w:rPr>
          <w:color w:val="000000"/>
          <w:lang w:eastAsia="ar-SA"/>
        </w:rPr>
        <w:t>договора</w:t>
      </w:r>
      <w:r>
        <w:rPr>
          <w:rFonts w:eastAsia="Calibri"/>
          <w:lang w:eastAsia="en-US"/>
        </w:rPr>
        <w:t xml:space="preserve"> </w:t>
      </w:r>
      <w:r>
        <w:rPr/>
        <w:t>победителем - поставщиком (подрядчиком, исполнителем) предоставляется независимая гарантия, то она должна соответствовать следующим требованиям:</w:t>
      </w:r>
    </w:p>
    <w:p>
      <w:pPr>
        <w:pStyle w:val="Normal"/>
        <w:ind w:left="0" w:right="0" w:firstLine="709"/>
        <w:rPr/>
      </w:pPr>
      <w:r>
        <w:rPr/>
        <w:t>1) независимая гарантия должна быть выдана гарантом, предусмотренным ч. 1 ст.45 Федерального закона от 05.04.2013г. №44-ФЗ «О контрактной системе в сфере закупок товаров, работ, услуг для обеспечения государственных и муниципальных нужд»;</w:t>
      </w:r>
    </w:p>
    <w:p>
      <w:pPr>
        <w:pStyle w:val="Normal"/>
        <w:ind w:left="0" w:right="0" w:firstLine="709"/>
        <w:rPr/>
      </w:pPr>
      <w:r>
        <w:rPr/>
        <w:t>2) независимая гарантия не может быть отозвана выдавшим ее гарантом;</w:t>
      </w:r>
    </w:p>
    <w:p>
      <w:pPr>
        <w:pStyle w:val="Normal"/>
        <w:shd w:val="clear" w:color="auto" w:fill="FFFFFF"/>
        <w:ind w:left="0" w:right="0" w:firstLine="709"/>
        <w:rPr/>
      </w:pPr>
      <w:r>
        <w:rPr/>
        <w:t xml:space="preserve">3) независимая гарантия должна содержать: </w:t>
      </w:r>
    </w:p>
    <w:p>
      <w:pPr>
        <w:pStyle w:val="Normal"/>
        <w:shd w:val="clear" w:color="auto" w:fill="FFFFFF"/>
        <w:ind w:left="0" w:right="0" w:firstLine="709"/>
        <w:rPr/>
      </w:pPr>
      <w:r>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w:t>
      </w:r>
      <w:r>
        <w:fldChar w:fldCharType="begin"/>
      </w:r>
      <w:r>
        <w:rPr>
          <w:rStyle w:val="-"/>
          <w:u w:val="single"/>
          <w:color w:val="0000FF"/>
        </w:rPr>
        <w:instrText xml:space="preserve"> HYPERLINK "https://internet.garant.ru/" \l "/document/10164072/entry/23006"</w:instrText>
      </w:r>
      <w:r>
        <w:rPr>
          <w:rStyle w:val="-"/>
          <w:u w:val="single"/>
          <w:color w:val="0000FF"/>
        </w:rPr>
        <w:fldChar w:fldCharType="separate"/>
      </w:r>
      <w:r>
        <w:rPr>
          <w:rStyle w:val="-"/>
          <w:color w:val="0000FF"/>
          <w:u w:val="single"/>
        </w:rPr>
        <w:t>Гражданским кодексом</w:t>
      </w:r>
      <w:r>
        <w:rPr>
          <w:rStyle w:val="-"/>
          <w:u w:val="single"/>
          <w:color w:val="0000FF"/>
        </w:rPr>
        <w:fldChar w:fldCharType="end"/>
      </w:r>
      <w:r>
        <w:rPr/>
        <w:t> Российской Федерации оснований для отказа в удовлетворении этого требования;</w:t>
      </w:r>
    </w:p>
    <w:p>
      <w:pPr>
        <w:pStyle w:val="Normal"/>
        <w:shd w:val="clear" w:color="auto" w:fill="FFFFFF"/>
        <w:ind w:left="0" w:right="0" w:firstLine="709"/>
        <w:rPr/>
      </w:pPr>
      <w:r>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п.4 ч.32 Федерального закона № 223-ФЗ;</w:t>
      </w:r>
    </w:p>
    <w:p>
      <w:pPr>
        <w:pStyle w:val="Normal"/>
        <w:shd w:val="clear" w:color="auto" w:fill="FFFFFF"/>
        <w:ind w:left="0" w:right="0" w:firstLine="709"/>
        <w:rPr/>
      </w:pPr>
      <w:r>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документацией о такой закупке срока исполнения основного обязательства;</w:t>
      </w:r>
    </w:p>
    <w:p>
      <w:pPr>
        <w:pStyle w:val="Normal"/>
        <w:shd w:val="clear" w:color="auto" w:fill="FFFFFF"/>
        <w:tabs>
          <w:tab w:val="clear" w:pos="708"/>
          <w:tab w:val="left" w:pos="1134" w:leader="none"/>
        </w:tabs>
        <w:ind w:left="0" w:right="0" w:firstLine="709"/>
        <w:rPr>
          <w:lang w:eastAsia="ar-SA"/>
        </w:rPr>
      </w:pPr>
      <w:r>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pPr>
        <w:pStyle w:val="Normal"/>
        <w:shd w:val="clear" w:color="auto" w:fill="FFFFFF"/>
        <w:ind w:left="0" w:right="0" w:firstLine="709"/>
        <w:rPr>
          <w:lang w:eastAsia="ar-SA"/>
        </w:rPr>
      </w:pPr>
      <w:r>
        <w:rPr>
          <w:lang w:eastAsia="ar-SA"/>
        </w:rPr>
        <w:t>Независимая гарантия, предоставляемая в качестве обеспечения исполнения</w:t>
      </w:r>
      <w:r>
        <w:rPr>
          <w:color w:val="000000"/>
          <w:lang w:eastAsia="ar-SA"/>
        </w:rPr>
        <w:t xml:space="preserve"> договора</w:t>
      </w:r>
      <w:r>
        <w:rPr>
          <w:lang w:eastAsia="ar-SA"/>
        </w:rPr>
        <w:t>, должна быть составлена по типовой форме и содержать дополнительные требования, которые утверждены Постановлением Правительства РФ от 09.08.2022г.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pPr>
        <w:pStyle w:val="Normal"/>
        <w:ind w:left="0" w:right="0" w:firstLine="709"/>
        <w:rPr/>
      </w:pPr>
      <w:r>
        <w:rPr>
          <w:lang w:eastAsia="ar-SA"/>
        </w:rPr>
        <w:t>Несоответствие независимой гарантии, предоставленной участником закупки, вышеуказанным требованиям, является основанием для отказа в принятии ее заказчиком.</w:t>
      </w:r>
    </w:p>
    <w:p>
      <w:pPr>
        <w:pStyle w:val="Normal"/>
        <w:shd w:val="clear" w:color="auto" w:fill="FFFFFF"/>
        <w:ind w:left="0" w:right="0" w:firstLine="709"/>
        <w:rPr/>
      </w:pPr>
      <w:r>
        <w:rPr/>
        <w:t xml:space="preserve">Если в качестве обеспечения исполнения договора поставщиком (подрядчиком, исполнителем) предоставляется независимая гарантия, то в случае заключения дополнительного соглашения к договору на увеличение суммы, объема, срока поставки товара (выполнения работ, оказания услуг) поставщик (подрядчик, исполнитель) обязан внести изменения в условия гарантии в части увеличения срока действия гарантии, увеличения суммы гарантии и предоставить ее Заказчику не позднее 5 рабочих дней со дня заключения дополнительного соглашения. </w:t>
      </w:r>
    </w:p>
    <w:p>
      <w:pPr>
        <w:pStyle w:val="Normal"/>
        <w:shd w:val="clear" w:color="auto" w:fill="FFFFFF"/>
        <w:ind w:left="0" w:right="0" w:firstLine="709"/>
        <w:rPr>
          <w:color w:val="000000"/>
          <w:sz w:val="20"/>
          <w:szCs w:val="20"/>
          <w:highlight w:val="yellow"/>
          <w:lang w:eastAsia="ar-SA"/>
        </w:rPr>
      </w:pPr>
      <w:r>
        <w:rPr/>
        <w:t>В случае заключения дополнительного соглашения к договору в части увеличения суммы договора, в том числе объема товара (работ, услуг), первоначальная сумма гарантии должна быть изменена, а именно увеличена на размер процента аналогичный проценту увеличения суммы договора, объема товара (работ, услуг).</w:t>
      </w:r>
    </w:p>
    <w:p>
      <w:pPr>
        <w:pStyle w:val="Normal"/>
        <w:ind w:left="0" w:right="0" w:firstLine="567"/>
        <w:rPr>
          <w:color w:val="000000"/>
          <w:sz w:val="20"/>
          <w:szCs w:val="20"/>
          <w:highlight w:val="yellow"/>
          <w:lang w:eastAsia="ar-SA"/>
        </w:rPr>
      </w:pPr>
      <w:r>
        <w:rPr>
          <w:color w:val="000000"/>
          <w:sz w:val="20"/>
          <w:szCs w:val="20"/>
          <w:highlight w:val="yellow"/>
          <w:lang w:eastAsia="ar-SA"/>
        </w:rPr>
      </w:r>
    </w:p>
    <w:p>
      <w:pPr>
        <w:pStyle w:val="Normal"/>
        <w:ind w:left="0" w:right="0" w:firstLine="993"/>
        <w:rPr>
          <w:rFonts w:ascii="Calibri" w:hAnsi="Calibri" w:cs="Calibri"/>
          <w:b/>
          <w:lang w:eastAsia="ar-SA"/>
        </w:rPr>
      </w:pPr>
      <w:r>
        <w:rPr>
          <w:b/>
          <w:lang w:eastAsia="ar-SA"/>
        </w:rPr>
        <w:t xml:space="preserve">Раздел 2.15.  Возможность заказчика изменить условия </w:t>
      </w:r>
      <w:r>
        <w:rPr>
          <w:b/>
          <w:bCs/>
          <w:color w:val="000000"/>
          <w:lang w:eastAsia="ar-SA"/>
        </w:rPr>
        <w:t>договора</w:t>
      </w:r>
      <w:r>
        <w:rPr>
          <w:b/>
          <w:bCs/>
          <w:lang w:eastAsia="ar-SA"/>
        </w:rPr>
        <w:t>.</w:t>
      </w:r>
    </w:p>
    <w:p>
      <w:pPr>
        <w:pStyle w:val="Normal"/>
        <w:widowControl w:val="false"/>
        <w:spacing w:before="0" w:after="200"/>
        <w:ind w:left="0" w:right="0" w:firstLine="709"/>
        <w:rPr/>
      </w:pPr>
      <w:r>
        <w:rPr>
          <w:rFonts w:eastAsia="DejaVu Sans"/>
          <w:color w:val="000000"/>
          <w:lang w:eastAsia="ar-SA"/>
        </w:rPr>
        <w:t xml:space="preserve">При заключении </w:t>
      </w:r>
      <w:r>
        <w:rPr>
          <w:color w:val="000000"/>
          <w:lang w:eastAsia="ar-SA"/>
        </w:rPr>
        <w:t>договора</w:t>
      </w:r>
      <w:r>
        <w:rPr/>
        <w:t xml:space="preserve"> </w:t>
      </w:r>
      <w:r>
        <w:rPr>
          <w:rFonts w:eastAsia="DejaVu Sans"/>
          <w:color w:val="000000"/>
          <w:lang w:eastAsia="ar-SA"/>
        </w:rPr>
        <w:t xml:space="preserve">заказчик по согласованию с участником закупки, с которым заключается </w:t>
      </w:r>
      <w:r>
        <w:rPr>
          <w:color w:val="000000"/>
          <w:lang w:eastAsia="ar-SA"/>
        </w:rPr>
        <w:t>договор</w:t>
      </w:r>
      <w:r>
        <w:rPr>
          <w:rFonts w:eastAsia="DejaVu Sans"/>
          <w:color w:val="000000"/>
          <w:lang w:eastAsia="ar-SA"/>
        </w:rPr>
        <w:t xml:space="preserve">, вправе увеличить количество поставляемого товара на сумму, не превышающую разницы между ценой </w:t>
      </w:r>
      <w:r>
        <w:rPr>
          <w:color w:val="000000"/>
          <w:lang w:eastAsia="ar-SA"/>
        </w:rPr>
        <w:t>договора</w:t>
      </w:r>
      <w:r>
        <w:rPr>
          <w:rFonts w:eastAsia="DejaVu Sans"/>
          <w:color w:val="000000"/>
          <w:lang w:eastAsia="ar-SA"/>
        </w:rPr>
        <w:t xml:space="preserve">, предложенной таким участником, и начальной (максимальной) ценой </w:t>
      </w:r>
      <w:r>
        <w:rPr>
          <w:color w:val="000000"/>
          <w:lang w:eastAsia="ar-SA"/>
        </w:rPr>
        <w:t>договора</w:t>
      </w:r>
      <w:r>
        <w:rPr>
          <w:rFonts w:eastAsia="DejaVu Sans"/>
          <w:color w:val="000000"/>
          <w:lang w:eastAsia="ar-SA"/>
        </w:rPr>
        <w:t xml:space="preserve">. При этом цена единицы товара не должна превышать цену единицы товара, определяемую как частное от деления цены </w:t>
      </w:r>
      <w:r>
        <w:rPr>
          <w:color w:val="000000"/>
          <w:lang w:eastAsia="ar-SA"/>
        </w:rPr>
        <w:t>договора</w:t>
      </w:r>
      <w:r>
        <w:rPr>
          <w:rFonts w:eastAsia="DejaVu Sans"/>
          <w:color w:val="000000"/>
          <w:lang w:eastAsia="ar-SA"/>
        </w:rPr>
        <w:t>, предложенной участником аукциона в электронной форме, с которым заключается</w:t>
      </w:r>
      <w:r>
        <w:rPr>
          <w:color w:val="000000"/>
          <w:lang w:eastAsia="ar-SA"/>
        </w:rPr>
        <w:t xml:space="preserve"> договор</w:t>
      </w:r>
      <w:r>
        <w:rPr>
          <w:rFonts w:eastAsia="DejaVu Sans"/>
          <w:color w:val="000000"/>
          <w:lang w:eastAsia="ar-SA"/>
        </w:rPr>
        <w:t>, на количество товара, указанное в извещении о проведении аукциона в электронной форме.</w:t>
      </w:r>
    </w:p>
    <w:p>
      <w:pPr>
        <w:pStyle w:val="Style37"/>
        <w:numPr>
          <w:ilvl w:val="0"/>
          <w:numId w:val="0"/>
        </w:numPr>
        <w:ind w:left="0" w:right="0" w:firstLine="993"/>
        <w:rPr/>
      </w:pPr>
      <w:r>
        <w:rPr/>
        <w:t>Раздел 2.16. Срок и порядок заключения договора по результатам аукциона в электронной форме.</w:t>
      </w:r>
    </w:p>
    <w:p>
      <w:pPr>
        <w:pStyle w:val="ListNumber2"/>
        <w:numPr>
          <w:ilvl w:val="0"/>
          <w:numId w:val="0"/>
        </w:numPr>
        <w:ind w:left="0" w:right="0" w:firstLine="709"/>
        <w:rPr/>
      </w:pPr>
      <w:r>
        <w:rPr/>
        <w:t>По результатам аукциона договор заключается с победителем аукциона, указанным в итоговом протоколе аукциона. Договор заключается сторонами с помощью усиленной электронной подписи.</w:t>
      </w:r>
    </w:p>
    <w:p>
      <w:pPr>
        <w:pStyle w:val="ListNumber2"/>
        <w:numPr>
          <w:ilvl w:val="0"/>
          <w:numId w:val="0"/>
        </w:numPr>
        <w:ind w:left="0" w:right="0" w:firstLine="709"/>
        <w:rPr/>
      </w:pPr>
      <w:r>
        <w:rPr/>
        <w:t>Договор заключается не ранее чем через 10 дней не позднее 20 дней с момента размещения в единой информационной системе протокола проведения аукциона.</w:t>
      </w:r>
    </w:p>
    <w:p>
      <w:pPr>
        <w:pStyle w:val="ListNumber2"/>
        <w:numPr>
          <w:ilvl w:val="0"/>
          <w:numId w:val="0"/>
        </w:numPr>
        <w:ind w:left="0" w:right="0" w:firstLine="709"/>
        <w:rPr/>
      </w:pPr>
      <w:r>
        <w:rPr/>
        <w:t>Заказчик в течение пяти рабочих дней со дня размещения на электронной площадке протокола подведения итогов аукциона направляет оператору электронной площадки без подписи заказчика проект договора, который составляется путем включения цены договора, предложенной участником аукциона, с которым заключается договор (либо согласованной в сторону уменьшения), сведений о товаре (наименования, характеристики, количество и иные признаки, содержащиеся в Технических требованиях аукциона), указанных в заявке на участие в аукционе такого участника, в проект договора, прилагаемого к документации об аукционе.</w:t>
      </w:r>
    </w:p>
    <w:p>
      <w:pPr>
        <w:pStyle w:val="ListNumber2"/>
        <w:numPr>
          <w:ilvl w:val="0"/>
          <w:numId w:val="0"/>
        </w:numPr>
        <w:ind w:left="0" w:right="0" w:firstLine="709"/>
        <w:rPr/>
      </w:pPr>
      <w:r>
        <w:rPr/>
        <w:t>В течение одного часа с момента получения проекта договора оператор электронной площадки направляет проект договора участнику аукциона, с которым заключается договор.</w:t>
      </w:r>
    </w:p>
    <w:p>
      <w:pPr>
        <w:pStyle w:val="ListNumber2"/>
        <w:numPr>
          <w:ilvl w:val="0"/>
          <w:numId w:val="0"/>
        </w:numPr>
        <w:ind w:left="0" w:right="0" w:firstLine="709"/>
        <w:rPr>
          <w:rFonts w:eastAsia="Calibri"/>
          <w:lang w:eastAsia="en-US"/>
        </w:rPr>
      </w:pPr>
      <w:r>
        <w:rPr/>
        <w:t>В случае если победитель аукциона в течение 20 дней с момента подведения итогов аукциона не подписал усиленной электронной подписью договор, такой победитель может быть признан уклонившимся от заключения договора.</w:t>
      </w:r>
    </w:p>
    <w:p>
      <w:pPr>
        <w:pStyle w:val="ListNumber2"/>
        <w:numPr>
          <w:ilvl w:val="0"/>
          <w:numId w:val="0"/>
        </w:numPr>
        <w:ind w:left="0" w:right="0" w:firstLine="709"/>
        <w:rPr/>
      </w:pPr>
      <w:r>
        <w:rPr>
          <w:rFonts w:eastAsia="Calibri"/>
          <w:lang w:eastAsia="en-US"/>
        </w:rPr>
        <w:t xml:space="preserve">Договор заключается на условиях, указанных в извещении о проведении </w:t>
      </w:r>
      <w:r>
        <w:rPr/>
        <w:t xml:space="preserve">аукциона </w:t>
      </w:r>
      <w:r>
        <w:rPr>
          <w:rFonts w:eastAsia="Calibri"/>
          <w:lang w:eastAsia="en-US"/>
        </w:rPr>
        <w:t xml:space="preserve">и документации об </w:t>
      </w:r>
      <w:r>
        <w:rPr/>
        <w:t>аукционе</w:t>
      </w:r>
      <w:r>
        <w:rPr>
          <w:rFonts w:eastAsia="Calibri"/>
          <w:lang w:eastAsia="en-US"/>
        </w:rPr>
        <w:t xml:space="preserve">, по цене, предложенной победителем </w:t>
      </w:r>
      <w:r>
        <w:rPr/>
        <w:t xml:space="preserve">аукциона (либо согласованной в сторону уменьшения), </w:t>
      </w:r>
      <w:r>
        <w:rPr>
          <w:rFonts w:eastAsia="Calibri"/>
          <w:lang w:eastAsia="en-US"/>
        </w:rPr>
        <w:t xml:space="preserve">не превышающей цену, предложенную таким участником </w:t>
      </w:r>
      <w:r>
        <w:rPr/>
        <w:t>аукциона.</w:t>
      </w:r>
    </w:p>
    <w:p>
      <w:pPr>
        <w:pStyle w:val="ListNumber2"/>
        <w:numPr>
          <w:ilvl w:val="0"/>
          <w:numId w:val="0"/>
        </w:numPr>
        <w:ind w:left="0" w:right="0" w:firstLine="709"/>
        <w:rPr/>
      </w:pPr>
      <w:r>
        <w:rPr/>
        <w:t>При заключении договора и в ходе его исполнения Заказчик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 При этом участник, с которым заключается договор, не вправе отказаться от исполнения договора на условиях, предложенных заказчиком в соответствии с настоящим пунктом документации.</w:t>
      </w:r>
    </w:p>
    <w:p>
      <w:pPr>
        <w:pStyle w:val="ListNumber2"/>
        <w:numPr>
          <w:ilvl w:val="0"/>
          <w:numId w:val="0"/>
        </w:numPr>
        <w:ind w:left="0" w:right="0" w:firstLine="709"/>
        <w:rPr/>
      </w:pPr>
      <w:r>
        <w:rPr/>
        <w:t>В заключаемом договоре указывается страна происхождения товаров на основании сведений, содержащихся в заявке, представленной участником закупки, с которым заключается договор.</w:t>
      </w:r>
    </w:p>
    <w:p>
      <w:pPr>
        <w:pStyle w:val="ListNumber2"/>
        <w:numPr>
          <w:ilvl w:val="0"/>
          <w:numId w:val="0"/>
        </w:numPr>
        <w:ind w:left="0" w:right="0" w:hanging="0"/>
        <w:rPr>
          <w:b/>
          <w:sz w:val="20"/>
          <w:szCs w:val="20"/>
          <w:lang w:eastAsia="ar-SA"/>
        </w:rPr>
      </w:pPr>
      <w:r>
        <w:rPr>
          <w:b/>
          <w:sz w:val="20"/>
          <w:szCs w:val="20"/>
          <w:lang w:eastAsia="ar-SA"/>
        </w:rPr>
      </w:r>
    </w:p>
    <w:p>
      <w:pPr>
        <w:pStyle w:val="Normal"/>
        <w:ind w:left="0" w:right="0" w:hanging="0"/>
        <w:jc w:val="center"/>
        <w:rPr>
          <w:b/>
          <w:sz w:val="20"/>
          <w:szCs w:val="20"/>
          <w:lang w:eastAsia="ar-SA"/>
        </w:rPr>
      </w:pPr>
      <w:r>
        <w:rPr>
          <w:b/>
          <w:sz w:val="20"/>
          <w:szCs w:val="20"/>
          <w:lang w:eastAsia="ar-SA"/>
        </w:rPr>
      </w:r>
    </w:p>
    <w:sectPr>
      <w:type w:val="nextPage"/>
      <w:pgSz w:w="11906" w:h="16838"/>
      <w:pgMar w:left="1134" w:right="850" w:gutter="0" w:header="0" w:top="1134"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default"/>
  </w:font>
  <w:font w:name="Calibri Light">
    <w:charset w:val="01"/>
    <w:family w:val="roman"/>
    <w:pitch w:val="default"/>
  </w:font>
  <w:font w:name="Arial">
    <w:charset w:val="01"/>
    <w:family w:val="roman"/>
    <w:pitch w:val="default"/>
  </w:font>
  <w:font w:name="Symbol">
    <w:charset w:val="01"/>
    <w:family w:val="roman"/>
    <w:pitch w:val="default"/>
  </w:font>
  <w:font w:name="Courier New">
    <w:charset w:val="01"/>
    <w:family w:val="roman"/>
    <w:pitch w:val="default"/>
  </w:font>
  <w:font w:name="Wingdings">
    <w:charset w:val="01"/>
    <w:family w:val="roman"/>
    <w:pitch w:val="default"/>
  </w:font>
  <w:font w:name="Times new">
    <w:charset w:val="01"/>
    <w:family w:val="roman"/>
    <w:pitch w:val="default"/>
  </w:font>
  <w:font w:name="PT Astra Serif">
    <w:charset w:val="01"/>
    <w:family w:val="roman"/>
    <w:pitch w:val="default"/>
  </w:font>
  <w:font w:name="Calibri">
    <w:charset w:val="01"/>
    <w:family w:val="roman"/>
    <w:pitch w:val="default"/>
  </w:font>
  <w:font w:name="Liberation Serif">
    <w:altName w:val="Times New Roman"/>
    <w:charset w:val="01"/>
    <w:family w:val="roman"/>
    <w:pitch w:val="default"/>
  </w:font>
  <w:font w:name="Courier New">
    <w:charset w:val="01"/>
    <w:family w:val="modern"/>
    <w:pitch w:val="fixed"/>
  </w:font>
  <w:font w:name="Wingdings">
    <w:charset w:val="02"/>
    <w:family w:val="auto"/>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1"/>
      <w:numFmt w:val="decimal"/>
      <w:lvlText w:val="%1"/>
      <w:lvlJc w:val="left"/>
      <w:pPr>
        <w:tabs>
          <w:tab w:val="num" w:pos="0"/>
        </w:tabs>
        <w:ind w:left="432" w:hanging="432"/>
      </w:pPr>
      <w:rPr/>
    </w:lvl>
    <w:lvl w:ilvl="1">
      <w:start w:val="1"/>
      <w:numFmt w:val="decimal"/>
      <w:lvlText w:val="%1.%2"/>
      <w:lvlJc w:val="left"/>
      <w:pPr>
        <w:tabs>
          <w:tab w:val="num" w:pos="0"/>
        </w:tabs>
        <w:ind w:left="576" w:hanging="576"/>
      </w:pPr>
      <w:rPr/>
    </w:lvl>
    <w:lvl w:ilvl="2">
      <w:start w:val="1"/>
      <w:numFmt w:val="decimal"/>
      <w:lvlText w:val="%1.%2.%3"/>
      <w:lvlJc w:val="left"/>
      <w:pPr>
        <w:tabs>
          <w:tab w:val="num" w:pos="0"/>
        </w:tabs>
        <w:ind w:left="720" w:hanging="720"/>
      </w:pPr>
      <w:rPr/>
    </w:lvl>
    <w:lvl w:ilvl="3">
      <w:start w:val="1"/>
      <w:pStyle w:val="4"/>
      <w:numFmt w:val="decimal"/>
      <w:lvlText w:val="%1.%2.%3.%4"/>
      <w:lvlJc w:val="left"/>
      <w:pPr>
        <w:tabs>
          <w:tab w:val="num" w:pos="0"/>
        </w:tabs>
        <w:ind w:left="864" w:hanging="864"/>
      </w:pPr>
      <w:rPr/>
    </w:lvl>
    <w:lvl w:ilvl="4">
      <w:start w:val="1"/>
      <w:numFmt w:val="decimal"/>
      <w:lvlText w:val="%1.%2.%3.%4.%5"/>
      <w:lvlJc w:val="left"/>
      <w:pPr>
        <w:tabs>
          <w:tab w:val="num" w:pos="0"/>
        </w:tabs>
        <w:ind w:left="1008" w:hanging="1008"/>
      </w:pPr>
      <w:rPr/>
    </w:lvl>
    <w:lvl w:ilvl="5">
      <w:start w:val="1"/>
      <w:numFmt w:val="decimal"/>
      <w:lvlText w:val="%1.%2.%3.%4.%5.%6"/>
      <w:lvlJc w:val="left"/>
      <w:pPr>
        <w:tabs>
          <w:tab w:val="num" w:pos="0"/>
        </w:tabs>
        <w:ind w:left="1152" w:hanging="1152"/>
      </w:pPr>
      <w:rPr/>
    </w:lvl>
    <w:lvl w:ilvl="6">
      <w:start w:val="1"/>
      <w:numFmt w:val="decimal"/>
      <w:lvlText w:val="%1.%2.%3.%4.%5.%6.%7"/>
      <w:lvlJc w:val="left"/>
      <w:pPr>
        <w:tabs>
          <w:tab w:val="num" w:pos="0"/>
        </w:tabs>
        <w:ind w:left="1296" w:hanging="1296"/>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584" w:hanging="1584"/>
      </w:pPr>
      <w:rPr/>
    </w:lvl>
  </w:abstractNum>
  <w:abstractNum w:abstractNumId="2">
    <w:lvl w:ilvl="0">
      <w:start w:val="1"/>
      <w:numFmt w:val="decimal"/>
      <w:lvlText w:val="%1."/>
      <w:lvlJc w:val="left"/>
      <w:pPr>
        <w:tabs>
          <w:tab w:val="num" w:pos="1492"/>
        </w:tabs>
        <w:ind w:left="1492" w:hanging="360"/>
      </w:pPr>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bullet"/>
      <w:lvlText w:val=""/>
      <w:lvlJc w:val="left"/>
      <w:pPr>
        <w:tabs>
          <w:tab w:val="num" w:pos="926"/>
        </w:tabs>
        <w:ind w:left="926"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643"/>
        </w:tabs>
        <w:ind w:left="643"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2025"/>
      <w:numFmt w:val="decimal"/>
      <w:lvlText w:val="%1"/>
      <w:lvlJc w:val="left"/>
      <w:pPr>
        <w:tabs>
          <w:tab w:val="num" w:pos="0"/>
        </w:tabs>
        <w:ind w:left="960" w:hanging="600"/>
      </w:pPr>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decimal"/>
      <w:lvlText w:val="%1."/>
      <w:lvlJc w:val="left"/>
      <w:pPr>
        <w:tabs>
          <w:tab w:val="num" w:pos="360"/>
        </w:tabs>
        <w:ind w:left="360" w:hanging="360"/>
      </w:pPr>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numFmt w:val="bullet"/>
      <w:lvlText w:val="-"/>
      <w:lvlJc w:val="left"/>
      <w:pPr>
        <w:tabs>
          <w:tab w:val="num" w:pos="0"/>
        </w:tabs>
        <w:ind w:left="1429"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lvl w:ilvl="0">
      <w:start w:val="1"/>
      <w:numFmt w:val="decimal"/>
      <w:lvlText w:val="раздел %1."/>
      <w:lvlJc w:val="left"/>
      <w:pPr>
        <w:tabs>
          <w:tab w:val="num" w:pos="0"/>
        </w:tabs>
        <w:ind w:left="0" w:hanging="0"/>
      </w:pPr>
      <w:rPr>
        <w:sz w:val="28"/>
        <w:i w:val="false"/>
        <w:b/>
        <w:rFonts w:ascii="Times New Roman" w:hAnsi="Times New Roman" w:cs="Times New Roman"/>
      </w:rPr>
    </w:lvl>
    <w:lvl w:ilvl="1">
      <w:start w:val="1"/>
      <w:numFmt w:val="decimal"/>
      <w:lvlText w:val="%2."/>
      <w:lvlJc w:val="left"/>
      <w:pPr>
        <w:tabs>
          <w:tab w:val="num" w:pos="0"/>
        </w:tabs>
        <w:ind w:left="0" w:hanging="0"/>
      </w:pPr>
      <w:rPr>
        <w:sz w:val="24"/>
        <w:rFonts w:ascii="Times New Roman" w:hAnsi="Times New Roman" w:cs="Times New Roman"/>
      </w:rPr>
    </w:lvl>
    <w:lvl w:ilvl="2">
      <w:start w:val="1"/>
      <w:numFmt w:val="decimal"/>
      <w:lvlText w:val="%3)"/>
      <w:lvlJc w:val="left"/>
      <w:pPr>
        <w:tabs>
          <w:tab w:val="num" w:pos="0"/>
        </w:tabs>
        <w:ind w:left="0" w:hanging="0"/>
      </w:pPr>
      <w:rPr>
        <w:sz w:val="24"/>
        <w:rFonts w:ascii="Times new" w:hAnsi="Times new" w:cs="Times new"/>
      </w:rPr>
    </w:lvl>
    <w:lvl w:ilvl="3">
      <w:start w:val="1"/>
      <w:numFmt w:val="decimal"/>
      <w:lvlText w:val="%4)"/>
      <w:lvlJc w:val="left"/>
      <w:pPr>
        <w:tabs>
          <w:tab w:val="num" w:pos="0"/>
        </w:tabs>
        <w:ind w:left="0" w:hanging="0"/>
      </w:pPr>
      <w:rPr>
        <w:sz w:val="24"/>
        <w:rFonts w:ascii="Times new" w:hAnsi="Times new" w:cs="Times new"/>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10">
    <w:lvl w:ilvl="0">
      <w:start w:val="1"/>
      <w:numFmt w:val="decimal"/>
      <w:lvlText w:val="раздел %1."/>
      <w:lvlJc w:val="left"/>
      <w:pPr>
        <w:tabs>
          <w:tab w:val="num" w:pos="0"/>
        </w:tabs>
        <w:ind w:left="993" w:hanging="0"/>
      </w:pPr>
      <w:rPr>
        <w:sz w:val="24"/>
        <w:i w:val="false"/>
        <w:b/>
        <w:szCs w:val="24"/>
        <w:rFonts w:ascii="Times New Roman" w:hAnsi="Times New Roman" w:cs="Times New Roman"/>
      </w:rPr>
    </w:lvl>
    <w:lvl w:ilvl="1">
      <w:start w:val="1"/>
      <w:numFmt w:val="decimal"/>
      <w:lvlText w:val="%2."/>
      <w:lvlJc w:val="left"/>
      <w:pPr>
        <w:tabs>
          <w:tab w:val="num" w:pos="0"/>
        </w:tabs>
        <w:ind w:left="8364" w:hanging="0"/>
      </w:pPr>
      <w:rPr>
        <w:sz w:val="24"/>
        <w:b w:val="false"/>
        <w:rFonts w:ascii="Times New Roman" w:hAnsi="Times New Roman" w:eastAsia="Times New Roman" w:cs="Times New Roman"/>
        <w:color w:val="000000"/>
      </w:rPr>
    </w:lvl>
    <w:lvl w:ilvl="2">
      <w:start w:val="1"/>
      <w:numFmt w:val="decimal"/>
      <w:lvlText w:val="%3)"/>
      <w:lvlJc w:val="left"/>
      <w:pPr>
        <w:tabs>
          <w:tab w:val="num" w:pos="0"/>
        </w:tabs>
        <w:ind w:left="710" w:hanging="0"/>
      </w:pPr>
      <w:rPr>
        <w:sz w:val="24"/>
        <w:rFonts w:ascii="Times new" w:hAnsi="Times new" w:cs="Times new"/>
        <w:color w:val="000000"/>
      </w:rPr>
    </w:lvl>
    <w:lvl w:ilvl="3">
      <w:start w:val="1"/>
      <w:numFmt w:val="decimal"/>
      <w:lvlText w:val="%4)"/>
      <w:lvlJc w:val="left"/>
      <w:pPr>
        <w:tabs>
          <w:tab w:val="num" w:pos="708"/>
        </w:tabs>
        <w:ind w:left="0" w:hanging="0"/>
      </w:pPr>
      <w:rPr>
        <w:sz w:val="24"/>
        <w:rFonts w:ascii="Times new" w:hAnsi="Times new" w:cs="Times new"/>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708"/>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ahoma" w:cs="Noto Sans Devanagari"/>
        <w:lang w:val="ru-RU" w:eastAsia="zh-CN" w:bidi="hi-IN"/>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before="0" w:after="0"/>
      <w:ind w:left="0" w:right="0" w:firstLine="1134"/>
      <w:jc w:val="both"/>
    </w:pPr>
    <w:rPr>
      <w:rFonts w:ascii="Times New Roman" w:hAnsi="Times New Roman" w:eastAsia="Times New Roman" w:cs="Times New Roman"/>
      <w:color w:val="auto"/>
      <w:kern w:val="0"/>
      <w:sz w:val="24"/>
      <w:szCs w:val="24"/>
      <w:lang w:val="ru-RU" w:eastAsia="zh-CN" w:bidi="ar-SA"/>
    </w:rPr>
  </w:style>
  <w:style w:type="paragraph" w:styleId="1">
    <w:name w:val="Heading 1"/>
    <w:basedOn w:val="Normal"/>
    <w:uiPriority w:val="9"/>
    <w:qFormat/>
    <w:pPr>
      <w:keepNext w:val="true"/>
      <w:keepLines/>
      <w:numPr>
        <w:ilvl w:val="0"/>
        <w:numId w:val="1"/>
      </w:numPr>
      <w:outlineLvl w:val="0"/>
    </w:pPr>
    <w:rPr>
      <w:rFonts w:eastAsia="Times New Roman" w:cs="Times New Roman"/>
      <w:color w:val="000000"/>
      <w:szCs w:val="32"/>
    </w:rPr>
  </w:style>
  <w:style w:type="paragraph" w:styleId="2">
    <w:name w:val="Heading 2"/>
    <w:basedOn w:val="Normal"/>
    <w:uiPriority w:val="9"/>
    <w:unhideWhenUsed/>
    <w:qFormat/>
    <w:pPr>
      <w:keepNext w:val="true"/>
      <w:spacing w:before="240" w:after="60"/>
      <w:outlineLvl w:val="1"/>
    </w:pPr>
    <w:rPr>
      <w:rFonts w:ascii="Calibri Light" w:hAnsi="Calibri Light" w:eastAsia="Times New Roman" w:cs="Times New Roman"/>
      <w:b/>
      <w:bCs/>
      <w:i/>
      <w:iCs/>
      <w:sz w:val="28"/>
      <w:szCs w:val="28"/>
    </w:rPr>
  </w:style>
  <w:style w:type="paragraph" w:styleId="3">
    <w:name w:val="Heading 3"/>
    <w:basedOn w:val="Normal"/>
    <w:uiPriority w:val="9"/>
    <w:unhideWhenUsed/>
    <w:qFormat/>
    <w:pPr>
      <w:keepNext w:val="true"/>
      <w:spacing w:before="240" w:after="60"/>
      <w:outlineLvl w:val="2"/>
    </w:pPr>
    <w:rPr>
      <w:rFonts w:ascii="Calibri Light" w:hAnsi="Calibri Light" w:eastAsia="Times New Roman" w:cs="Times New Roman"/>
      <w:b/>
      <w:bCs/>
      <w:sz w:val="26"/>
      <w:szCs w:val="26"/>
    </w:rPr>
  </w:style>
  <w:style w:type="paragraph" w:styleId="4">
    <w:name w:val="Heading 4"/>
    <w:basedOn w:val="Normal"/>
    <w:uiPriority w:val="9"/>
    <w:unhideWhenUsed/>
    <w:qFormat/>
    <w:pPr>
      <w:keepNext w:val="true"/>
      <w:keepLines/>
      <w:numPr>
        <w:ilvl w:val="3"/>
        <w:numId w:val="1"/>
      </w:numPr>
      <w:spacing w:before="40" w:after="0"/>
      <w:outlineLvl w:val="3"/>
    </w:pPr>
    <w:rPr>
      <w:rFonts w:eastAsia="Times New Roman" w:cs="Times New Roman"/>
      <w:iCs/>
      <w:color w:val="000000"/>
    </w:rPr>
  </w:style>
  <w:style w:type="paragraph" w:styleId="5">
    <w:name w:val="Heading 5"/>
    <w:basedOn w:val="Normal"/>
    <w:uiPriority w:val="9"/>
    <w:unhideWhenUsed/>
    <w:qFormat/>
    <w:pPr>
      <w:keepNext w:val="true"/>
      <w:keepLines/>
      <w:spacing w:before="320" w:after="200"/>
      <w:outlineLvl w:val="4"/>
    </w:pPr>
    <w:rPr>
      <w:rFonts w:ascii="Arial" w:hAnsi="Arial" w:eastAsia="Arial" w:cs="Arial"/>
      <w:b/>
      <w:bCs/>
      <w:sz w:val="24"/>
      <w:szCs w:val="24"/>
    </w:rPr>
  </w:style>
  <w:style w:type="paragraph" w:styleId="6">
    <w:name w:val="Heading 6"/>
    <w:basedOn w:val="Normal"/>
    <w:uiPriority w:val="9"/>
    <w:unhideWhenUsed/>
    <w:qFormat/>
    <w:pPr>
      <w:keepNext w:val="true"/>
      <w:keepLines/>
      <w:spacing w:before="320" w:after="200"/>
      <w:outlineLvl w:val="5"/>
    </w:pPr>
    <w:rPr>
      <w:rFonts w:ascii="Arial" w:hAnsi="Arial" w:eastAsia="Arial" w:cs="Arial"/>
      <w:b/>
      <w:bCs/>
      <w:sz w:val="22"/>
      <w:szCs w:val="22"/>
    </w:rPr>
  </w:style>
  <w:style w:type="paragraph" w:styleId="7">
    <w:name w:val="Heading 7"/>
    <w:basedOn w:val="Normal"/>
    <w:uiPriority w:val="9"/>
    <w:unhideWhenUsed/>
    <w:qFormat/>
    <w:pPr>
      <w:keepNext w:val="true"/>
      <w:keepLines/>
      <w:spacing w:before="320" w:after="200"/>
      <w:outlineLvl w:val="6"/>
    </w:pPr>
    <w:rPr>
      <w:rFonts w:ascii="Arial" w:hAnsi="Arial" w:eastAsia="Arial" w:cs="Arial"/>
      <w:b/>
      <w:bCs/>
      <w:i/>
      <w:iCs/>
      <w:sz w:val="22"/>
      <w:szCs w:val="22"/>
    </w:rPr>
  </w:style>
  <w:style w:type="paragraph" w:styleId="8">
    <w:name w:val="Heading 8"/>
    <w:basedOn w:val="Normal"/>
    <w:uiPriority w:val="9"/>
    <w:unhideWhenUsed/>
    <w:qFormat/>
    <w:pPr>
      <w:keepNext w:val="true"/>
      <w:keepLines/>
      <w:spacing w:before="320" w:after="200"/>
      <w:outlineLvl w:val="7"/>
    </w:pPr>
    <w:rPr>
      <w:rFonts w:ascii="Arial" w:hAnsi="Arial" w:eastAsia="Arial" w:cs="Arial"/>
      <w:i/>
      <w:iCs/>
      <w:sz w:val="22"/>
      <w:szCs w:val="22"/>
    </w:rPr>
  </w:style>
  <w:style w:type="paragraph" w:styleId="9">
    <w:name w:val="Heading 9"/>
    <w:basedOn w:val="Normal"/>
    <w:uiPriority w:val="9"/>
    <w:unhideWhenUsed/>
    <w:qFormat/>
    <w:pPr>
      <w:keepNext w:val="true"/>
      <w:keepLines/>
      <w:spacing w:before="320" w:after="200"/>
      <w:outlineLvl w:val="8"/>
    </w:pPr>
    <w:rPr>
      <w:rFonts w:ascii="Arial" w:hAnsi="Arial" w:eastAsia="Arial" w:cs="Arial"/>
      <w:i/>
      <w:iCs/>
      <w:sz w:val="21"/>
      <w:szCs w:val="21"/>
    </w:rPr>
  </w:style>
  <w:style w:type="character" w:styleId="Heading1Char">
    <w:name w:val="Heading 1 Char"/>
    <w:uiPriority w:val="9"/>
    <w:qFormat/>
    <w:rPr>
      <w:rFonts w:ascii="Arial" w:hAnsi="Arial" w:eastAsia="Arial" w:cs="Arial"/>
      <w:sz w:val="40"/>
      <w:szCs w:val="40"/>
    </w:rPr>
  </w:style>
  <w:style w:type="character" w:styleId="Heading2Char">
    <w:name w:val="Heading 2 Char"/>
    <w:uiPriority w:val="9"/>
    <w:qFormat/>
    <w:rPr>
      <w:rFonts w:ascii="Arial" w:hAnsi="Arial" w:eastAsia="Arial" w:cs="Arial"/>
      <w:sz w:val="34"/>
    </w:rPr>
  </w:style>
  <w:style w:type="character" w:styleId="Heading3Char">
    <w:name w:val="Heading 3 Char"/>
    <w:uiPriority w:val="9"/>
    <w:qFormat/>
    <w:rPr>
      <w:rFonts w:ascii="Arial" w:hAnsi="Arial" w:eastAsia="Arial" w:cs="Arial"/>
      <w:sz w:val="30"/>
      <w:szCs w:val="30"/>
    </w:rPr>
  </w:style>
  <w:style w:type="character" w:styleId="Heading4Char">
    <w:name w:val="Heading 4 Char"/>
    <w:uiPriority w:val="9"/>
    <w:qFormat/>
    <w:rPr>
      <w:rFonts w:ascii="Arial" w:hAnsi="Arial" w:eastAsia="Arial" w:cs="Arial"/>
      <w:b/>
      <w:bCs/>
      <w:sz w:val="26"/>
      <w:szCs w:val="26"/>
    </w:rPr>
  </w:style>
  <w:style w:type="character" w:styleId="Heading5Char">
    <w:name w:val="Heading 5 Char"/>
    <w:uiPriority w:val="9"/>
    <w:qFormat/>
    <w:rPr>
      <w:rFonts w:ascii="Arial" w:hAnsi="Arial" w:eastAsia="Arial" w:cs="Arial"/>
      <w:b/>
      <w:bCs/>
      <w:sz w:val="24"/>
      <w:szCs w:val="24"/>
    </w:rPr>
  </w:style>
  <w:style w:type="character" w:styleId="Heading6Char">
    <w:name w:val="Heading 6 Char"/>
    <w:uiPriority w:val="9"/>
    <w:qFormat/>
    <w:rPr>
      <w:rFonts w:ascii="Arial" w:hAnsi="Arial" w:eastAsia="Arial" w:cs="Arial"/>
      <w:b/>
      <w:bCs/>
      <w:sz w:val="22"/>
      <w:szCs w:val="22"/>
    </w:rPr>
  </w:style>
  <w:style w:type="character" w:styleId="Heading7Char">
    <w:name w:val="Heading 7 Char"/>
    <w:uiPriority w:val="9"/>
    <w:qFormat/>
    <w:rPr>
      <w:rFonts w:ascii="Arial" w:hAnsi="Arial" w:eastAsia="Arial" w:cs="Arial"/>
      <w:b/>
      <w:bCs/>
      <w:i/>
      <w:iCs/>
      <w:sz w:val="22"/>
      <w:szCs w:val="22"/>
    </w:rPr>
  </w:style>
  <w:style w:type="character" w:styleId="Heading8Char">
    <w:name w:val="Heading 8 Char"/>
    <w:uiPriority w:val="9"/>
    <w:qFormat/>
    <w:rPr>
      <w:rFonts w:ascii="Arial" w:hAnsi="Arial" w:eastAsia="Arial" w:cs="Arial"/>
      <w:i/>
      <w:iCs/>
      <w:sz w:val="22"/>
      <w:szCs w:val="22"/>
    </w:rPr>
  </w:style>
  <w:style w:type="character" w:styleId="Heading9Char">
    <w:name w:val="Heading 9 Char"/>
    <w:uiPriority w:val="9"/>
    <w:qFormat/>
    <w:rPr>
      <w:rFonts w:ascii="Arial" w:hAnsi="Arial" w:eastAsia="Arial" w:cs="Arial"/>
      <w:i/>
      <w:iCs/>
      <w:sz w:val="21"/>
      <w:szCs w:val="21"/>
    </w:rPr>
  </w:style>
  <w:style w:type="character" w:styleId="TitleChar">
    <w:name w:val="Title Char"/>
    <w:uiPriority w:val="10"/>
    <w:qFormat/>
    <w:rPr>
      <w:sz w:val="48"/>
      <w:szCs w:val="48"/>
    </w:rPr>
  </w:style>
  <w:style w:type="character" w:styleId="SubtitleChar">
    <w:name w:val="Subtitle Char"/>
    <w:uiPriority w:val="11"/>
    <w:qFormat/>
    <w:rPr>
      <w:sz w:val="24"/>
      <w:szCs w:val="24"/>
    </w:rPr>
  </w:style>
  <w:style w:type="character" w:styleId="QuoteChar">
    <w:name w:val="Quote Char"/>
    <w:uiPriority w:val="29"/>
    <w:qFormat/>
    <w:rPr>
      <w:i/>
    </w:rPr>
  </w:style>
  <w:style w:type="character" w:styleId="IntenseQuoteChar">
    <w:name w:val="Intense Quote Char"/>
    <w:uiPriority w:val="30"/>
    <w:qFormat/>
    <w:rPr>
      <w:i/>
    </w:rPr>
  </w:style>
  <w:style w:type="character" w:styleId="HeaderChar">
    <w:name w:val="Header Char"/>
    <w:uiPriority w:val="99"/>
    <w:qFormat/>
    <w:rPr/>
  </w:style>
  <w:style w:type="character" w:styleId="FooterChar">
    <w:name w:val="Footer Char"/>
    <w:uiPriority w:val="99"/>
    <w:qFormat/>
    <w:rPr/>
  </w:style>
  <w:style w:type="character" w:styleId="CaptionChar">
    <w:name w:val="Caption Char"/>
    <w:uiPriority w:val="99"/>
    <w:qFormat/>
    <w:rPr/>
  </w:style>
  <w:style w:type="character" w:styleId="-">
    <w:name w:val="Hyperlink"/>
    <w:uiPriority w:val="99"/>
    <w:unhideWhenUsed/>
    <w:rPr>
      <w:color w:val="0000FF"/>
      <w:u w:val="single"/>
    </w:rPr>
  </w:style>
  <w:style w:type="character" w:styleId="FootnoteTextChar">
    <w:name w:val="Footnote Text Char"/>
    <w:uiPriority w:val="99"/>
    <w:qFormat/>
    <w:rPr>
      <w:sz w:val="18"/>
    </w:rPr>
  </w:style>
  <w:style w:type="character" w:styleId="Style5">
    <w:name w:val="Символ сноски"/>
    <w:uiPriority w:val="99"/>
    <w:unhideWhenUsed/>
    <w:qFormat/>
    <w:rPr>
      <w:vertAlign w:val="superscript"/>
    </w:rPr>
  </w:style>
  <w:style w:type="character" w:styleId="Style6">
    <w:name w:val="Footnote Reference"/>
    <w:rPr>
      <w:vertAlign w:val="superscript"/>
    </w:rPr>
  </w:style>
  <w:style w:type="character" w:styleId="EndnoteTextChar">
    <w:name w:val="Endnote Text Char"/>
    <w:uiPriority w:val="99"/>
    <w:qFormat/>
    <w:rPr>
      <w:sz w:val="20"/>
    </w:rPr>
  </w:style>
  <w:style w:type="character" w:styleId="Style7">
    <w:name w:val="Символ концевой сноски"/>
    <w:uiPriority w:val="99"/>
    <w:semiHidden/>
    <w:unhideWhenUsed/>
    <w:qFormat/>
    <w:rPr>
      <w:vertAlign w:val="superscript"/>
    </w:rPr>
  </w:style>
  <w:style w:type="character" w:styleId="Style8">
    <w:name w:val="Endnote Reference"/>
    <w:rPr>
      <w:vertAlign w:val="superscript"/>
    </w:rPr>
  </w:style>
  <w:style w:type="character" w:styleId="WW8Num2z0">
    <w:name w:val="WW8Num2z0"/>
    <w:qFormat/>
    <w:rPr>
      <w:rFonts w:ascii="Symbol" w:hAnsi="Symbol" w:cs="Symbol"/>
    </w:rPr>
  </w:style>
  <w:style w:type="character" w:styleId="WW8Num3z0">
    <w:name w:val="WW8Num3z0"/>
    <w:qFormat/>
    <w:rPr>
      <w:rFonts w:ascii="Symbol" w:hAnsi="Symbol" w:cs="Symbol"/>
    </w:rPr>
  </w:style>
  <w:style w:type="character" w:styleId="WW8Num4z0">
    <w:name w:val="WW8Num4z0"/>
    <w:qFormat/>
    <w:rPr>
      <w:rFonts w:ascii="Symbol" w:hAnsi="Symbol" w:cs="Symbol"/>
    </w:rPr>
  </w:style>
  <w:style w:type="character" w:styleId="WW8Num5z0">
    <w:name w:val="WW8Num5z0"/>
    <w:qFormat/>
    <w:rPr>
      <w:rFonts w:ascii="Times New Roman" w:hAnsi="Times New Roman" w:cs="Times New Roman"/>
      <w:b w:val="false"/>
      <w:sz w:val="22"/>
      <w:szCs w:val="22"/>
    </w:rPr>
  </w:style>
  <w:style w:type="character" w:styleId="WW8Num5z1">
    <w:name w:val="WW8Num5z1"/>
    <w:qFormat/>
    <w:rPr>
      <w:b w:val="false"/>
    </w:rPr>
  </w:style>
  <w:style w:type="character" w:styleId="WW8Num5z2">
    <w:name w:val="WW8Num5z2"/>
    <w:qFormat/>
    <w:rPr>
      <w:rFonts w:ascii="Times New Roman" w:hAnsi="Times New Roman" w:cs="Times New Roman"/>
      <w:b w:val="false"/>
      <w:bCs w:val="false"/>
      <w:i w:val="false"/>
      <w:iCs w:val="false"/>
      <w:sz w:val="26"/>
      <w:szCs w:val="26"/>
    </w:rPr>
  </w:style>
  <w:style w:type="character" w:styleId="WW8Num5z3">
    <w:name w:val="WW8Num5z3"/>
    <w:qFormat/>
    <w:rPr>
      <w:rFonts w:ascii="Times New Roman" w:hAnsi="Times New Roman" w:cs="Times New Roman"/>
      <w:sz w:val="26"/>
      <w:szCs w:val="26"/>
    </w:rPr>
  </w:style>
  <w:style w:type="character" w:styleId="WW8Num5z4">
    <w:name w:val="WW8Num5z4"/>
    <w:qFormat/>
    <w:rPr>
      <w:sz w:val="26"/>
      <w:szCs w:val="26"/>
    </w:rPr>
  </w:style>
  <w:style w:type="character" w:styleId="WW8Num5z5">
    <w:name w:val="WW8Num5z5"/>
    <w:qFormat/>
    <w:rPr/>
  </w:style>
  <w:style w:type="character" w:styleId="WW8Num6z0">
    <w:name w:val="WW8Num6z0"/>
    <w:qFormat/>
    <w:rPr/>
  </w:style>
  <w:style w:type="character" w:styleId="WW8Num8z0">
    <w:name w:val="WW8Num8z0"/>
    <w:qFormat/>
    <w:rPr>
      <w:rFonts w:ascii="Times New Roman" w:hAnsi="Times New Roman" w:eastAsia="Times New Roman" w:cs="Times New Roman"/>
    </w:rPr>
  </w:style>
  <w:style w:type="character" w:styleId="WW8Num8z1">
    <w:name w:val="WW8Num8z1"/>
    <w:qFormat/>
    <w:rPr>
      <w:rFonts w:ascii="Courier New" w:hAnsi="Courier New" w:cs="Courier New"/>
    </w:rPr>
  </w:style>
  <w:style w:type="character" w:styleId="WW8Num8z2">
    <w:name w:val="WW8Num8z2"/>
    <w:qFormat/>
    <w:rPr>
      <w:rFonts w:ascii="Wingdings" w:hAnsi="Wingdings" w:cs="Wingdings"/>
    </w:rPr>
  </w:style>
  <w:style w:type="character" w:styleId="WW8Num8z3">
    <w:name w:val="WW8Num8z3"/>
    <w:qFormat/>
    <w:rPr>
      <w:rFonts w:ascii="Symbol" w:hAnsi="Symbol" w:cs="Symbol"/>
    </w:rPr>
  </w:style>
  <w:style w:type="character" w:styleId="WW8Num9z0">
    <w:name w:val="WW8Num9z0"/>
    <w:qFormat/>
    <w:rPr>
      <w:rFonts w:ascii="Times New Roman" w:hAnsi="Times New Roman" w:cs="Times New Roman"/>
      <w:b/>
      <w:i w:val="false"/>
      <w:sz w:val="28"/>
    </w:rPr>
  </w:style>
  <w:style w:type="character" w:styleId="WW8Num9z1">
    <w:name w:val="WW8Num9z1"/>
    <w:qFormat/>
    <w:rPr>
      <w:rFonts w:ascii="Times New Roman" w:hAnsi="Times New Roman" w:cs="Times New Roman"/>
      <w:sz w:val="24"/>
    </w:rPr>
  </w:style>
  <w:style w:type="character" w:styleId="WW8Num9z2">
    <w:name w:val="WW8Num9z2"/>
    <w:qFormat/>
    <w:rPr>
      <w:rFonts w:ascii="Times new" w:hAnsi="Times new" w:cs="Times new"/>
      <w:sz w:val="24"/>
    </w:rPr>
  </w:style>
  <w:style w:type="character" w:styleId="WW8Num9z4">
    <w:name w:val="WW8Num9z4"/>
    <w:qFormat/>
    <w:rPr/>
  </w:style>
  <w:style w:type="character" w:styleId="WW8Num10z0">
    <w:name w:val="WW8Num10z0"/>
    <w:qFormat/>
    <w:rPr>
      <w:rFonts w:ascii="Times New Roman" w:hAnsi="Times New Roman" w:cs="Times New Roman"/>
      <w:b/>
      <w:i w:val="false"/>
      <w:sz w:val="24"/>
      <w:szCs w:val="24"/>
    </w:rPr>
  </w:style>
  <w:style w:type="character" w:styleId="WW8Num10z1">
    <w:name w:val="WW8Num10z1"/>
    <w:qFormat/>
    <w:rPr>
      <w:rFonts w:ascii="Times New Roman" w:hAnsi="Times New Roman" w:eastAsia="Times New Roman" w:cs="Times New Roman"/>
      <w:b w:val="false"/>
      <w:color w:val="000000"/>
      <w:sz w:val="24"/>
    </w:rPr>
  </w:style>
  <w:style w:type="character" w:styleId="WW8Num10z2">
    <w:name w:val="WW8Num10z2"/>
    <w:qFormat/>
    <w:rPr>
      <w:rFonts w:ascii="Times new" w:hAnsi="Times new" w:cs="Times new"/>
      <w:color w:val="000000"/>
      <w:sz w:val="24"/>
    </w:rPr>
  </w:style>
  <w:style w:type="character" w:styleId="WW8Num10z3">
    <w:name w:val="WW8Num10z3"/>
    <w:qFormat/>
    <w:rPr>
      <w:rFonts w:ascii="Times new" w:hAnsi="Times new" w:cs="Times new"/>
      <w:sz w:val="24"/>
    </w:rPr>
  </w:style>
  <w:style w:type="character" w:styleId="WW8Num10z4">
    <w:name w:val="WW8Num10z4"/>
    <w:qFormat/>
    <w:rPr/>
  </w:style>
  <w:style w:type="character" w:styleId="WW8Num11z0">
    <w:name w:val="WW8Num11z0"/>
    <w:qFormat/>
    <w:rPr>
      <w:rFonts w:ascii="Times New Roman" w:hAnsi="Times New Roman" w:cs="Times New Roman"/>
      <w:b/>
      <w:sz w:val="20"/>
    </w:rPr>
  </w:style>
  <w:style w:type="character" w:styleId="WW8Num13z0">
    <w:name w:val="WW8Num13z0"/>
    <w:qFormat/>
    <w:rPr/>
  </w:style>
  <w:style w:type="character" w:styleId="WW8Num15z0">
    <w:name w:val="WW8Num15z0"/>
    <w:qFormat/>
    <w:rPr/>
  </w:style>
  <w:style w:type="character" w:styleId="Style9">
    <w:name w:val="Основной шрифт абзаца"/>
    <w:qFormat/>
    <w:rPr/>
  </w:style>
  <w:style w:type="character" w:styleId="11">
    <w:name w:val="Заголовок 1 Знак"/>
    <w:qFormat/>
    <w:rPr>
      <w:rFonts w:ascii="Times New Roman" w:hAnsi="Times New Roman" w:eastAsia="Times New Roman" w:cs="Times New Roman"/>
      <w:color w:val="000000"/>
      <w:sz w:val="24"/>
      <w:szCs w:val="32"/>
    </w:rPr>
  </w:style>
  <w:style w:type="character" w:styleId="41">
    <w:name w:val="Заголовок 4 Знак"/>
    <w:qFormat/>
    <w:rPr>
      <w:rFonts w:ascii="Times New Roman" w:hAnsi="Times New Roman" w:eastAsia="Times New Roman" w:cs="Times New Roman"/>
      <w:iCs/>
      <w:color w:val="000000"/>
      <w:sz w:val="24"/>
      <w:szCs w:val="24"/>
    </w:rPr>
  </w:style>
  <w:style w:type="character" w:styleId="Style10">
    <w:name w:val="Название книги"/>
    <w:qFormat/>
    <w:rPr/>
  </w:style>
  <w:style w:type="character" w:styleId="ConsPlusNormal">
    <w:name w:val="ConsPlusNormal Знак"/>
    <w:qFormat/>
    <w:rPr>
      <w:rFonts w:ascii="Arial" w:hAnsi="Arial" w:eastAsia="Times New Roman" w:cs="Arial"/>
      <w:sz w:val="28"/>
      <w:szCs w:val="28"/>
    </w:rPr>
  </w:style>
  <w:style w:type="character" w:styleId="Style11">
    <w:name w:val="Не вступил в силу"/>
    <w:qFormat/>
    <w:rPr>
      <w:rFonts w:cs="Times New Roman"/>
      <w:color w:val="008080"/>
      <w:sz w:val="20"/>
      <w:szCs w:val="20"/>
    </w:rPr>
  </w:style>
  <w:style w:type="character" w:styleId="Style12">
    <w:name w:val="Знак примечания"/>
    <w:qFormat/>
    <w:rPr>
      <w:sz w:val="18"/>
      <w:szCs w:val="18"/>
    </w:rPr>
  </w:style>
  <w:style w:type="character" w:styleId="Style13">
    <w:name w:val="Текст примечания Знак"/>
    <w:qFormat/>
    <w:rPr>
      <w:rFonts w:ascii="Times New Roman" w:hAnsi="Times New Roman" w:eastAsia="Times New Roman" w:cs="Times New Roman"/>
    </w:rPr>
  </w:style>
  <w:style w:type="character" w:styleId="Style14">
    <w:name w:val="Тема примечания Знак"/>
    <w:qFormat/>
    <w:rPr>
      <w:rFonts w:ascii="Times New Roman" w:hAnsi="Times New Roman" w:eastAsia="Times New Roman" w:cs="Times New Roman"/>
      <w:b/>
      <w:bCs/>
      <w:sz w:val="20"/>
      <w:szCs w:val="20"/>
    </w:rPr>
  </w:style>
  <w:style w:type="character" w:styleId="Style15">
    <w:name w:val="Текст выноски Знак"/>
    <w:qFormat/>
    <w:rPr>
      <w:rFonts w:ascii="Times New Roman" w:hAnsi="Times New Roman" w:eastAsia="Times New Roman" w:cs="Times New Roman"/>
      <w:sz w:val="18"/>
      <w:szCs w:val="18"/>
    </w:rPr>
  </w:style>
  <w:style w:type="character" w:styleId="Style16">
    <w:name w:val="Emphasis"/>
    <w:qFormat/>
    <w:rPr>
      <w:i/>
      <w:iCs/>
    </w:rPr>
  </w:style>
  <w:style w:type="character" w:styleId="Apple-converted-space">
    <w:name w:val="apple-converted-space"/>
    <w:qFormat/>
    <w:rPr/>
  </w:style>
  <w:style w:type="character" w:styleId="Style17">
    <w:name w:val="Текст концевой сноски Знак"/>
    <w:qFormat/>
    <w:rPr>
      <w:rFonts w:ascii="Times New Roman" w:hAnsi="Times New Roman" w:cs="Times New Roman"/>
    </w:rPr>
  </w:style>
  <w:style w:type="character" w:styleId="12">
    <w:name w:val="Текст концевой сноски Знак1"/>
    <w:qFormat/>
    <w:rPr>
      <w:rFonts w:ascii="Times New Roman" w:hAnsi="Times New Roman" w:eastAsia="Times New Roman" w:cs="Times New Roman"/>
    </w:rPr>
  </w:style>
  <w:style w:type="character" w:styleId="21">
    <w:name w:val="Заголовок 2 Знак"/>
    <w:qFormat/>
    <w:rPr>
      <w:rFonts w:ascii="Calibri Light" w:hAnsi="Calibri Light" w:eastAsia="Times New Roman" w:cs="Times New Roman"/>
      <w:b/>
      <w:bCs/>
      <w:i/>
      <w:iCs/>
      <w:sz w:val="28"/>
      <w:szCs w:val="28"/>
    </w:rPr>
  </w:style>
  <w:style w:type="character" w:styleId="31">
    <w:name w:val="Заголовок 3 Знак"/>
    <w:qFormat/>
    <w:rPr>
      <w:rFonts w:ascii="Calibri Light" w:hAnsi="Calibri Light" w:eastAsia="Times New Roman" w:cs="Times New Roman"/>
      <w:b/>
      <w:bCs/>
      <w:sz w:val="26"/>
      <w:szCs w:val="26"/>
    </w:rPr>
  </w:style>
  <w:style w:type="character" w:styleId="Style18">
    <w:name w:val="Верхний колонтитул Знак"/>
    <w:qFormat/>
    <w:rPr>
      <w:rFonts w:ascii="Times New Roman" w:hAnsi="Times New Roman" w:eastAsia="Times New Roman" w:cs="Times New Roman"/>
      <w:sz w:val="24"/>
      <w:szCs w:val="24"/>
    </w:rPr>
  </w:style>
  <w:style w:type="character" w:styleId="Style19">
    <w:name w:val="Нижний колонтитул Знак"/>
    <w:qFormat/>
    <w:rPr>
      <w:rFonts w:ascii="Times New Roman" w:hAnsi="Times New Roman" w:eastAsia="Times New Roman" w:cs="Times New Roman"/>
      <w:sz w:val="24"/>
      <w:szCs w:val="24"/>
    </w:rPr>
  </w:style>
  <w:style w:type="character" w:styleId="Style20">
    <w:name w:val="Основной текст Знак"/>
    <w:qFormat/>
    <w:rPr>
      <w:rFonts w:eastAsia="Times New Roman"/>
      <w:sz w:val="22"/>
      <w:szCs w:val="22"/>
    </w:rPr>
  </w:style>
  <w:style w:type="character" w:styleId="Style21">
    <w:name w:val="Без интервала Знак"/>
    <w:qFormat/>
    <w:rPr/>
  </w:style>
  <w:style w:type="character" w:styleId="DefaultParagraphFont" w:default="1">
    <w:name w:val="Default Paragraph Font"/>
    <w:uiPriority w:val="1"/>
    <w:semiHidden/>
    <w:unhideWhenUsed/>
    <w:qFormat/>
    <w:rPr/>
  </w:style>
  <w:style w:type="paragraph" w:styleId="Style22">
    <w:name w:val="Заголовок"/>
    <w:basedOn w:val="Normal"/>
    <w:next w:val="Style23"/>
    <w:qFormat/>
    <w:pPr>
      <w:keepNext w:val="true"/>
      <w:spacing w:before="240" w:after="120"/>
    </w:pPr>
    <w:rPr>
      <w:rFonts w:ascii="PT Astra Serif" w:hAnsi="PT Astra Serif" w:eastAsia="Tahoma" w:cs="Noto Sans Devanagari"/>
      <w:sz w:val="28"/>
      <w:szCs w:val="28"/>
    </w:rPr>
  </w:style>
  <w:style w:type="paragraph" w:styleId="Style23">
    <w:name w:val="Body Text"/>
    <w:basedOn w:val="Normal"/>
    <w:pPr>
      <w:spacing w:lineRule="auto" w:line="276" w:before="0" w:after="120"/>
      <w:ind w:left="0" w:right="0" w:hanging="0"/>
      <w:jc w:val="left"/>
    </w:pPr>
    <w:rPr>
      <w:rFonts w:ascii="Calibri" w:hAnsi="Calibri" w:cs="Calibri"/>
      <w:sz w:val="22"/>
      <w:szCs w:val="22"/>
    </w:rPr>
  </w:style>
  <w:style w:type="paragraph" w:styleId="Style24">
    <w:name w:val="List"/>
    <w:basedOn w:val="Style23"/>
    <w:pPr/>
    <w:rPr>
      <w:rFonts w:ascii="PT Astra Serif" w:hAnsi="PT Astra Serif" w:cs="Noto Sans Devanagari"/>
    </w:rPr>
  </w:style>
  <w:style w:type="paragraph" w:styleId="Style25">
    <w:name w:val="Caption"/>
    <w:basedOn w:val="Normal"/>
    <w:uiPriority w:val="35"/>
    <w:semiHidden/>
    <w:unhideWhenUsed/>
    <w:qFormat/>
    <w:pPr>
      <w:suppressLineNumbers/>
      <w:spacing w:before="120" w:after="120"/>
    </w:pPr>
    <w:rPr>
      <w:rFonts w:ascii="PT Astra Serif" w:hAnsi="PT Astra Serif" w:cs="Noto Sans Devanagari"/>
      <w:i/>
      <w:iCs/>
      <w:sz w:val="24"/>
      <w:szCs w:val="24"/>
    </w:rPr>
  </w:style>
  <w:style w:type="paragraph" w:styleId="Style26">
    <w:name w:val="Указатель"/>
    <w:basedOn w:val="Normal"/>
    <w:qFormat/>
    <w:pPr>
      <w:suppressLineNumbers/>
    </w:pPr>
    <w:rPr>
      <w:rFonts w:ascii="PT Astra Serif" w:hAnsi="PT Astra Serif" w:cs="Noto Sans Devanagari"/>
    </w:rPr>
  </w:style>
  <w:style w:type="paragraph" w:styleId="NoSpacing">
    <w:name w:val="No Spacing"/>
    <w:uiPriority w:val="1"/>
    <w:qFormat/>
    <w:pPr>
      <w:widowControl/>
      <w:suppressAutoHyphens w:val="true"/>
      <w:bidi w:val="0"/>
      <w:spacing w:lineRule="auto" w:line="240" w:before="0" w:after="0"/>
      <w:jc w:val="left"/>
    </w:pPr>
    <w:rPr>
      <w:rFonts w:ascii="Times New Roman" w:hAnsi="Times New Roman" w:eastAsia="Tahoma" w:cs="Noto Sans Devanagari"/>
      <w:color w:val="auto"/>
      <w:kern w:val="0"/>
      <w:sz w:val="20"/>
      <w:szCs w:val="20"/>
      <w:lang w:val="ru-RU" w:eastAsia="zh-CN" w:bidi="hi-IN"/>
    </w:rPr>
  </w:style>
  <w:style w:type="paragraph" w:styleId="Style27">
    <w:name w:val="Title"/>
    <w:basedOn w:val="Normal"/>
    <w:uiPriority w:val="10"/>
    <w:qFormat/>
    <w:pPr>
      <w:spacing w:before="300" w:after="200"/>
      <w:contextualSpacing/>
    </w:pPr>
    <w:rPr>
      <w:sz w:val="48"/>
      <w:szCs w:val="48"/>
    </w:rPr>
  </w:style>
  <w:style w:type="paragraph" w:styleId="Style28">
    <w:name w:val="Subtitle"/>
    <w:basedOn w:val="Normal"/>
    <w:uiPriority w:val="11"/>
    <w:qFormat/>
    <w:pPr>
      <w:spacing w:before="200" w:after="200"/>
    </w:pPr>
    <w:rPr>
      <w:sz w:val="24"/>
      <w:szCs w:val="24"/>
    </w:rPr>
  </w:style>
  <w:style w:type="paragraph" w:styleId="Quote">
    <w:name w:val="Quote"/>
    <w:basedOn w:val="Normal"/>
    <w:uiPriority w:val="29"/>
    <w:qFormat/>
    <w:pPr>
      <w:ind w:left="720" w:right="720" w:hanging="0"/>
    </w:pPr>
    <w:rPr>
      <w:i/>
    </w:rPr>
  </w:style>
  <w:style w:type="paragraph" w:styleId="IntenseQuote">
    <w:name w:val="Intense Quote"/>
    <w:basedOn w:val="Normal"/>
    <w:uiPriority w:val="30"/>
    <w:qFormat/>
    <w:pPr>
      <w:pBdr>
        <w:top w:val="single" w:sz="4" w:space="5" w:color="FFFFFF"/>
        <w:left w:val="single" w:sz="4" w:space="10" w:color="FFFFFF"/>
        <w:bottom w:val="single" w:sz="4" w:space="5" w:color="FFFFFF"/>
        <w:right w:val="single" w:sz="4" w:space="10" w:color="FFFFFF"/>
      </w:pBdr>
      <w:shd w:val="clear" w:color="auto" w:fill="F2F2F2"/>
      <w:spacing w:before="0" w:after="0"/>
      <w:ind w:left="720" w:right="720" w:hanging="0"/>
    </w:pPr>
    <w:rPr>
      <w:i/>
    </w:rPr>
  </w:style>
  <w:style w:type="paragraph" w:styleId="Style29">
    <w:name w:val="Колонтитул"/>
    <w:basedOn w:val="Normal"/>
    <w:qFormat/>
    <w:pPr>
      <w:suppressLineNumbers/>
      <w:tabs>
        <w:tab w:val="clear" w:pos="708"/>
        <w:tab w:val="center" w:pos="4819" w:leader="none"/>
        <w:tab w:val="right" w:pos="9638" w:leader="none"/>
      </w:tabs>
    </w:pPr>
    <w:rPr/>
  </w:style>
  <w:style w:type="paragraph" w:styleId="Style30">
    <w:name w:val="Header"/>
    <w:basedOn w:val="Normal"/>
    <w:uiPriority w:val="99"/>
    <w:unhideWhenUsed/>
    <w:pPr>
      <w:tabs>
        <w:tab w:val="clear" w:pos="708"/>
        <w:tab w:val="center" w:pos="4677" w:leader="none"/>
        <w:tab w:val="right" w:pos="9355" w:leader="none"/>
      </w:tabs>
    </w:pPr>
    <w:rPr/>
  </w:style>
  <w:style w:type="paragraph" w:styleId="Style31">
    <w:name w:val="Footer"/>
    <w:basedOn w:val="Normal"/>
    <w:uiPriority w:val="99"/>
    <w:unhideWhenUsed/>
    <w:pPr>
      <w:tabs>
        <w:tab w:val="clear" w:pos="708"/>
        <w:tab w:val="center" w:pos="4677" w:leader="none"/>
        <w:tab w:val="right" w:pos="9355" w:leader="none"/>
      </w:tabs>
    </w:pPr>
    <w:rPr/>
  </w:style>
  <w:style w:type="paragraph" w:styleId="Style32">
    <w:name w:val="Footnote Text"/>
    <w:basedOn w:val="Normal"/>
    <w:uiPriority w:val="99"/>
    <w:semiHidden/>
    <w:unhideWhenUsed/>
    <w:pPr>
      <w:spacing w:lineRule="auto" w:line="240" w:before="0" w:after="40"/>
    </w:pPr>
    <w:rPr>
      <w:sz w:val="18"/>
    </w:rPr>
  </w:style>
  <w:style w:type="paragraph" w:styleId="Style33">
    <w:name w:val="Endnote Text"/>
    <w:basedOn w:val="Normal"/>
    <w:uiPriority w:val="99"/>
    <w:semiHidden/>
    <w:unhideWhenUsed/>
    <w:pPr/>
    <w:rPr>
      <w:sz w:val="20"/>
      <w:szCs w:val="20"/>
    </w:rPr>
  </w:style>
  <w:style w:type="paragraph" w:styleId="13">
    <w:name w:val="TOC 1"/>
    <w:basedOn w:val="Normal"/>
    <w:uiPriority w:val="39"/>
    <w:unhideWhenUsed/>
    <w:pPr>
      <w:spacing w:before="0" w:after="57"/>
      <w:ind w:left="0" w:right="0" w:hanging="0"/>
    </w:pPr>
    <w:rPr/>
  </w:style>
  <w:style w:type="paragraph" w:styleId="22">
    <w:name w:val="TOC 2"/>
    <w:basedOn w:val="Normal"/>
    <w:uiPriority w:val="39"/>
    <w:unhideWhenUsed/>
    <w:pPr>
      <w:spacing w:before="0" w:after="57"/>
      <w:ind w:left="283" w:right="0" w:hanging="0"/>
    </w:pPr>
    <w:rPr/>
  </w:style>
  <w:style w:type="paragraph" w:styleId="32">
    <w:name w:val="TOC 3"/>
    <w:basedOn w:val="Normal"/>
    <w:uiPriority w:val="39"/>
    <w:unhideWhenUsed/>
    <w:pPr>
      <w:spacing w:before="0" w:after="57"/>
      <w:ind w:left="567" w:right="0" w:hanging="0"/>
    </w:pPr>
    <w:rPr/>
  </w:style>
  <w:style w:type="paragraph" w:styleId="42">
    <w:name w:val="TOC 4"/>
    <w:basedOn w:val="Normal"/>
    <w:uiPriority w:val="39"/>
    <w:unhideWhenUsed/>
    <w:pPr>
      <w:spacing w:before="0" w:after="57"/>
      <w:ind w:left="850" w:right="0" w:hanging="0"/>
    </w:pPr>
    <w:rPr/>
  </w:style>
  <w:style w:type="paragraph" w:styleId="51">
    <w:name w:val="TOC 5"/>
    <w:basedOn w:val="Normal"/>
    <w:uiPriority w:val="39"/>
    <w:unhideWhenUsed/>
    <w:pPr>
      <w:spacing w:before="0" w:after="57"/>
      <w:ind w:left="1134" w:right="0" w:hanging="0"/>
    </w:pPr>
    <w:rPr/>
  </w:style>
  <w:style w:type="paragraph" w:styleId="61">
    <w:name w:val="TOC 6"/>
    <w:basedOn w:val="Normal"/>
    <w:uiPriority w:val="39"/>
    <w:unhideWhenUsed/>
    <w:pPr>
      <w:spacing w:before="0" w:after="57"/>
      <w:ind w:left="1417" w:right="0" w:hanging="0"/>
    </w:pPr>
    <w:rPr/>
  </w:style>
  <w:style w:type="paragraph" w:styleId="71">
    <w:name w:val="TOC 7"/>
    <w:basedOn w:val="Normal"/>
    <w:uiPriority w:val="39"/>
    <w:unhideWhenUsed/>
    <w:pPr>
      <w:spacing w:before="0" w:after="57"/>
      <w:ind w:left="1701" w:right="0" w:hanging="0"/>
    </w:pPr>
    <w:rPr/>
  </w:style>
  <w:style w:type="paragraph" w:styleId="81">
    <w:name w:val="TOC 8"/>
    <w:basedOn w:val="Normal"/>
    <w:uiPriority w:val="39"/>
    <w:unhideWhenUsed/>
    <w:pPr>
      <w:spacing w:before="0" w:after="57"/>
      <w:ind w:left="1984" w:right="0" w:hanging="0"/>
    </w:pPr>
    <w:rPr/>
  </w:style>
  <w:style w:type="paragraph" w:styleId="91">
    <w:name w:val="TOC 9"/>
    <w:basedOn w:val="Normal"/>
    <w:uiPriority w:val="39"/>
    <w:unhideWhenUsed/>
    <w:pPr>
      <w:spacing w:before="0" w:after="57"/>
      <w:ind w:left="2268" w:right="0" w:hanging="0"/>
    </w:pPr>
    <w:rPr/>
  </w:style>
  <w:style w:type="paragraph" w:styleId="Style34">
    <w:name w:val="Index Heading"/>
    <w:basedOn w:val="Style22"/>
    <w:pPr/>
    <w:rPr/>
  </w:style>
  <w:style w:type="paragraph" w:styleId="Style35">
    <w:name w:val="TOC Heading"/>
    <w:uiPriority w:val="39"/>
    <w:unhideWhenUsed/>
    <w:qFormat/>
    <w:pPr>
      <w:widowControl/>
      <w:suppressAutoHyphens w:val="true"/>
      <w:bidi w:val="0"/>
      <w:spacing w:before="0" w:after="0"/>
      <w:jc w:val="left"/>
    </w:pPr>
    <w:rPr>
      <w:rFonts w:ascii="Times New Roman" w:hAnsi="Times New Roman" w:eastAsia="Tahoma" w:cs="Noto Sans Devanagari"/>
      <w:color w:val="auto"/>
      <w:kern w:val="0"/>
      <w:sz w:val="20"/>
      <w:szCs w:val="20"/>
      <w:lang w:val="ru-RU" w:eastAsia="zh-CN" w:bidi="hi-IN"/>
    </w:rPr>
  </w:style>
  <w:style w:type="paragraph" w:styleId="Tableoffigures">
    <w:name w:val="table of figures"/>
    <w:basedOn w:val="Normal"/>
    <w:uiPriority w:val="99"/>
    <w:unhideWhenUsed/>
    <w:qFormat/>
    <w:pPr>
      <w:spacing w:before="0" w:afterAutospacing="0" w:after="0"/>
    </w:pPr>
    <w:rPr/>
  </w:style>
  <w:style w:type="paragraph" w:styleId="Style36">
    <w:name w:val="Абзац списка"/>
    <w:basedOn w:val="Normal"/>
    <w:qFormat/>
    <w:pPr>
      <w:numPr>
        <w:ilvl w:val="0"/>
        <w:numId w:val="9"/>
      </w:numPr>
      <w:spacing w:before="0" w:after="0"/>
      <w:ind w:left="0" w:right="0" w:firstLine="1134"/>
      <w:contextualSpacing/>
    </w:pPr>
    <w:rPr/>
  </w:style>
  <w:style w:type="paragraph" w:styleId="Style37">
    <w:name w:val="Нумерованный список"/>
    <w:basedOn w:val="Normal"/>
    <w:qFormat/>
    <w:pPr>
      <w:numPr>
        <w:ilvl w:val="0"/>
        <w:numId w:val="10"/>
      </w:numPr>
      <w:spacing w:before="0" w:after="0"/>
      <w:contextualSpacing/>
    </w:pPr>
    <w:rPr>
      <w:b/>
    </w:rPr>
  </w:style>
  <w:style w:type="paragraph" w:styleId="ListNumber2">
    <w:name w:val="List Number 2"/>
    <w:basedOn w:val="Normal"/>
    <w:qFormat/>
    <w:pPr>
      <w:numPr>
        <w:ilvl w:val="0"/>
        <w:numId w:val="10"/>
      </w:numPr>
      <w:spacing w:before="0" w:after="0"/>
      <w:contextualSpacing/>
    </w:pPr>
    <w:rPr/>
  </w:style>
  <w:style w:type="paragraph" w:styleId="ListNumber3">
    <w:name w:val="List Number 3"/>
    <w:basedOn w:val="ListNumber2"/>
    <w:qFormat/>
    <w:pPr>
      <w:numPr>
        <w:ilvl w:val="0"/>
        <w:numId w:val="10"/>
      </w:numPr>
    </w:pPr>
    <w:rPr/>
  </w:style>
  <w:style w:type="paragraph" w:styleId="ListNumber4">
    <w:name w:val="List Number 4"/>
    <w:basedOn w:val="ListNumber3"/>
    <w:qFormat/>
    <w:pPr>
      <w:numPr>
        <w:ilvl w:val="0"/>
        <w:numId w:val="10"/>
      </w:numPr>
    </w:pPr>
    <w:rPr/>
  </w:style>
  <w:style w:type="paragraph" w:styleId="Style38">
    <w:name w:val="Маркированный список"/>
    <w:basedOn w:val="Normal"/>
    <w:qFormat/>
    <w:pPr>
      <w:numPr>
        <w:ilvl w:val="0"/>
        <w:numId w:val="5"/>
      </w:numPr>
      <w:spacing w:before="0" w:after="0"/>
      <w:contextualSpacing/>
    </w:pPr>
    <w:rPr/>
  </w:style>
  <w:style w:type="paragraph" w:styleId="23">
    <w:name w:val="Маркированный список 2"/>
    <w:basedOn w:val="Normal"/>
    <w:qFormat/>
    <w:pPr>
      <w:numPr>
        <w:ilvl w:val="0"/>
        <w:numId w:val="4"/>
      </w:numPr>
      <w:spacing w:before="0" w:after="0"/>
      <w:contextualSpacing/>
    </w:pPr>
    <w:rPr/>
  </w:style>
  <w:style w:type="paragraph" w:styleId="33">
    <w:name w:val="Маркированный список 3"/>
    <w:basedOn w:val="Normal"/>
    <w:qFormat/>
    <w:pPr>
      <w:numPr>
        <w:ilvl w:val="0"/>
        <w:numId w:val="3"/>
      </w:numPr>
      <w:spacing w:before="0" w:after="0"/>
      <w:contextualSpacing/>
    </w:pPr>
    <w:rPr/>
  </w:style>
  <w:style w:type="paragraph" w:styleId="ListNumber5">
    <w:name w:val="List Number 5"/>
    <w:basedOn w:val="Normal"/>
    <w:qFormat/>
    <w:pPr>
      <w:numPr>
        <w:ilvl w:val="0"/>
        <w:numId w:val="2"/>
      </w:numPr>
      <w:spacing w:before="0" w:after="0"/>
      <w:contextualSpacing/>
    </w:pPr>
    <w:rPr/>
  </w:style>
  <w:style w:type="paragraph" w:styleId="ConsPlusNormal1">
    <w:name w:val="ConsPlusNormal"/>
    <w:qFormat/>
    <w:pPr>
      <w:widowControl/>
      <w:suppressAutoHyphens w:val="true"/>
      <w:bidi w:val="0"/>
      <w:spacing w:before="0" w:after="0"/>
      <w:ind w:left="0" w:right="0" w:firstLine="720"/>
      <w:jc w:val="left"/>
    </w:pPr>
    <w:rPr>
      <w:rFonts w:ascii="Arial" w:hAnsi="Arial" w:eastAsia="Times New Roman" w:cs="Arial"/>
      <w:color w:val="auto"/>
      <w:kern w:val="0"/>
      <w:sz w:val="28"/>
      <w:szCs w:val="28"/>
      <w:lang w:val="ru-RU" w:eastAsia="zh-CN" w:bidi="ar-SA"/>
    </w:rPr>
  </w:style>
  <w:style w:type="paragraph" w:styleId="Style39">
    <w:name w:val="Текст примечания"/>
    <w:basedOn w:val="Normal"/>
    <w:qFormat/>
    <w:pPr/>
    <w:rPr/>
  </w:style>
  <w:style w:type="paragraph" w:styleId="Style40">
    <w:name w:val="Тема примечания"/>
    <w:basedOn w:val="Style39"/>
    <w:qFormat/>
    <w:pPr/>
    <w:rPr>
      <w:b/>
      <w:bCs/>
      <w:sz w:val="20"/>
      <w:szCs w:val="20"/>
    </w:rPr>
  </w:style>
  <w:style w:type="paragraph" w:styleId="Style41">
    <w:name w:val="Текст выноски"/>
    <w:basedOn w:val="Normal"/>
    <w:qFormat/>
    <w:pPr/>
    <w:rPr>
      <w:rFonts w:cs="Times New Roman"/>
      <w:sz w:val="18"/>
      <w:szCs w:val="18"/>
    </w:rPr>
  </w:style>
  <w:style w:type="paragraph" w:styleId="P1">
    <w:name w:val="p1"/>
    <w:basedOn w:val="Normal"/>
    <w:qFormat/>
    <w:pPr>
      <w:ind w:left="0" w:right="0" w:firstLine="405"/>
    </w:pPr>
    <w:rPr>
      <w:rFonts w:ascii="Arial" w:hAnsi="Arial" w:eastAsia="Times New Roman" w:cs="Arial"/>
      <w:sz w:val="15"/>
      <w:szCs w:val="15"/>
    </w:rPr>
  </w:style>
  <w:style w:type="paragraph" w:styleId="Style42">
    <w:name w:val="Рецензия"/>
    <w:qFormat/>
    <w:pPr>
      <w:widowControl/>
      <w:suppressAutoHyphens w:val="true"/>
      <w:bidi w:val="0"/>
      <w:spacing w:before="0" w:after="0"/>
      <w:jc w:val="left"/>
    </w:pPr>
    <w:rPr>
      <w:rFonts w:ascii="Times New Roman" w:hAnsi="Times New Roman" w:eastAsia="Times New Roman" w:cs="Times New Roman"/>
      <w:color w:val="auto"/>
      <w:kern w:val="0"/>
      <w:sz w:val="24"/>
      <w:szCs w:val="24"/>
      <w:lang w:val="ru-RU" w:eastAsia="zh-CN" w:bidi="ar-SA"/>
    </w:rPr>
  </w:style>
  <w:style w:type="paragraph" w:styleId="14">
    <w:name w:val="Текст концевой сноски1"/>
    <w:basedOn w:val="Normal"/>
    <w:qFormat/>
    <w:pPr>
      <w:ind w:left="0" w:right="0" w:hanging="0"/>
      <w:jc w:val="left"/>
    </w:pPr>
    <w:rPr>
      <w:rFonts w:eastAsia="Calibri"/>
      <w:sz w:val="20"/>
      <w:szCs w:val="20"/>
    </w:rPr>
  </w:style>
  <w:style w:type="paragraph" w:styleId="ListParagraph">
    <w:name w:val="List Paragraph"/>
    <w:basedOn w:val="Normal"/>
    <w:qFormat/>
    <w:pPr>
      <w:spacing w:lineRule="auto" w:line="276" w:before="0" w:after="200"/>
      <w:ind w:left="720" w:right="0" w:hanging="0"/>
      <w:contextualSpacing/>
    </w:pPr>
    <w:rPr>
      <w:rFonts w:ascii="Calibri" w:hAnsi="Calibri" w:eastAsia="Calibri" w:cs="Calibri"/>
      <w:sz w:val="20"/>
      <w:szCs w:val="20"/>
      <w:lang w:val="en-US"/>
    </w:rPr>
  </w:style>
  <w:style w:type="paragraph" w:styleId="34">
    <w:name w:val="Раздел 3"/>
    <w:basedOn w:val="Normal"/>
    <w:qFormat/>
    <w:pPr>
      <w:numPr>
        <w:ilvl w:val="0"/>
        <w:numId w:val="7"/>
      </w:numPr>
      <w:spacing w:before="120" w:after="120"/>
      <w:jc w:val="center"/>
    </w:pPr>
    <w:rPr>
      <w:b/>
      <w:szCs w:val="20"/>
    </w:rPr>
  </w:style>
  <w:style w:type="paragraph" w:styleId="Style43">
    <w:name w:val="Без интервала"/>
    <w:qFormat/>
    <w:pPr>
      <w:widowControl/>
      <w:suppressAutoHyphens w:val="true"/>
      <w:bidi w:val="0"/>
      <w:spacing w:before="0" w:after="0"/>
      <w:jc w:val="left"/>
    </w:pPr>
    <w:rPr>
      <w:rFonts w:ascii="Calibri" w:hAnsi="Calibri" w:eastAsia="Calibri" w:cs="Times New Roman"/>
      <w:color w:val="auto"/>
      <w:kern w:val="0"/>
      <w:sz w:val="20"/>
      <w:szCs w:val="20"/>
      <w:lang w:val="ru-RU" w:eastAsia="zh-CN" w:bidi="ar-SA"/>
    </w:rPr>
  </w:style>
  <w:style w:type="paragraph" w:styleId="Style44">
    <w:name w:val="Содержимое таблицы"/>
    <w:basedOn w:val="Normal"/>
    <w:qFormat/>
    <w:pPr>
      <w:widowControl w:val="false"/>
      <w:suppressLineNumbers/>
    </w:pPr>
    <w:rPr/>
  </w:style>
  <w:style w:type="paragraph" w:styleId="Style45">
    <w:name w:val="Заголовок таблицы"/>
    <w:basedOn w:val="Style44"/>
    <w:qFormat/>
    <w:pPr>
      <w:suppressLineNumbers/>
      <w:jc w:val="center"/>
    </w:pPr>
    <w:rPr>
      <w:b/>
      <w:bCs/>
    </w:rPr>
  </w:style>
  <w:style w:type="numbering" w:styleId="NoList" w:default="1">
    <w:name w:val="No List"/>
    <w:uiPriority w:val="99"/>
    <w:semiHidden/>
    <w:unhideWhenUsed/>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dc.info@tatar.ru" TargetMode="External"/><Relationship Id="rId3" Type="http://schemas.openxmlformats.org/officeDocument/2006/relationships/hyperlink" Target="consultantplus://offline/ref=BA3F2CFF482F78228B80B38DEB07EB7D9A64389FCC68D4B5B6B84B05A25017346C5C656AEB3736B89285748FD0794D5E73E36C0EFE97EC30N1y4H" TargetMode="External"/><Relationship Id="rId4" Type="http://schemas.openxmlformats.org/officeDocument/2006/relationships/hyperlink" Target="consultantplus://offline/ref=2845E3FB6EB536E237B8AB96CF6ECDFC0ADD2E8F896A4F4CA036C45B4C2D047E427DE935BB19AD4D8AEB1DDD531D81BEB02096A27A15p2C7P" TargetMode="External"/><Relationship Id="rId5" Type="http://schemas.openxmlformats.org/officeDocument/2006/relationships/hyperlink" Target="consultantplus://offline/ref=2845E3FB6EB536E237B8AB96CF6ECDFC0ADD2E8F896A4F4CA036C45B4C2D047E427DE935BB19AE4D8AEB1DDD531D81BEB02096A27A15p2C7P" TargetMode="Externa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501</TotalTime>
  <Application>LibreOffice/7.5.6.2$Linux_X86_64 LibreOffice_project/50$Build-2</Application>
  <AppVersion>15.0000</AppVersion>
  <Pages>15</Pages>
  <Words>5550</Words>
  <Characters>39272</Characters>
  <CharactersWithSpaces>44923</CharactersWithSpaces>
  <Paragraphs>217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2025-05-19T13:00:00Z</dcterms:created>
  <dc:creator>Фархад Шемякин</dc:creator>
  <dc:description/>
  <dc:language>ru-RU</dc:language>
  <cp:lastModifiedBy/>
  <cp:lastPrinted>2025-06-10T14:17:24Z</cp:lastPrinted>
  <dcterms:modified xsi:type="dcterms:W3CDTF">2025-06-11T14:20:19Z</dcterms:modified>
  <cp:revision>202</cp:revision>
  <dc:subject/>
  <dc:title/>
</cp:coreProperties>
</file>

<file path=docProps/custom.xml><?xml version="1.0" encoding="utf-8"?>
<Properties xmlns="http://schemas.openxmlformats.org/officeDocument/2006/custom-properties" xmlns:vt="http://schemas.openxmlformats.org/officeDocument/2006/docPropsVTypes"/>
</file>