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highlight w:val="none"/>
          <w:shd w:fill="auto" w:val="clear"/>
        </w:rPr>
      </w:pPr>
      <w:r>
        <w:rPr>
          <w:rFonts w:eastAsia="Calibri" w:cs="Times New Roman" w:ascii="Times New Roman" w:hAnsi="Times New Roman"/>
          <w:b/>
          <w:shd w:fill="auto" w:val="clear"/>
        </w:rPr>
        <w:t>Документация конкурентного отбора</w:t>
      </w:r>
    </w:p>
    <w:p>
      <w:pPr>
        <w:pStyle w:val="Normal"/>
        <w:spacing w:before="0" w:after="0"/>
        <w:jc w:val="center"/>
        <w:rPr>
          <w:rFonts w:ascii="Times New Roman" w:hAnsi="Times New Roman" w:eastAsia="Calibri" w:cs="Times New Roman"/>
          <w:b/>
          <w:highlight w:val="none"/>
          <w:shd w:fill="auto" w:val="clear"/>
        </w:rPr>
      </w:pPr>
      <w:r>
        <w:rPr>
          <w:rFonts w:eastAsia="Calibri" w:cs="Times New Roman" w:ascii="Times New Roman" w:hAnsi="Times New Roman"/>
          <w:b/>
          <w:shd w:fill="auto" w:val="clear"/>
        </w:rPr>
      </w:r>
    </w:p>
    <w:p>
      <w:pPr>
        <w:pStyle w:val="Normal"/>
        <w:spacing w:lineRule="auto" w:line="240" w:before="0" w:after="0"/>
        <w:ind w:firstLine="567"/>
        <w:jc w:val="both"/>
        <w:rPr>
          <w:highlight w:val="none"/>
          <w:shd w:fill="auto" w:val="clear"/>
        </w:rPr>
      </w:pPr>
      <w:r>
        <w:rPr>
          <w:rFonts w:eastAsia="Calibri" w:cs="Times New Roman" w:ascii="Times New Roman" w:hAnsi="Times New Roman"/>
          <w:b/>
          <w:shd w:fill="auto" w:val="clear"/>
        </w:rPr>
        <w:t xml:space="preserve">Раздел </w:t>
      </w:r>
      <w:r>
        <w:rPr>
          <w:rFonts w:eastAsia="Calibri" w:cs="Times New Roman" w:ascii="Times New Roman" w:hAnsi="Times New Roman"/>
          <w:b/>
          <w:shd w:fill="auto" w:val="clear"/>
          <w:lang w:val="en-US"/>
        </w:rPr>
        <w:t>I</w:t>
      </w:r>
      <w:r>
        <w:rPr>
          <w:rFonts w:eastAsia="Calibri" w:cs="Times New Roman" w:ascii="Times New Roman" w:hAnsi="Times New Roman"/>
          <w:b/>
          <w:shd w:fill="auto" w:val="clear"/>
        </w:rPr>
        <w:t>.</w:t>
      </w:r>
      <w:r>
        <w:rPr>
          <w:rFonts w:eastAsia="Times New Roman" w:cs="Times New Roman" w:ascii="Times New Roman" w:hAnsi="Times New Roman"/>
          <w:shd w:fill="auto" w:val="clear"/>
        </w:rPr>
        <w:t xml:space="preserve"> </w:t>
      </w:r>
      <w:r>
        <w:rPr>
          <w:rFonts w:eastAsia="Times New Roman" w:cs="Times New Roman" w:ascii="Times New Roman" w:hAnsi="Times New Roman"/>
          <w:b/>
          <w:shd w:fill="auto" w:val="clear"/>
        </w:rPr>
        <w:t>Порядок подачи предложений на участие в конкурентном отборе и разъяснений положений закупочной документации.</w:t>
      </w:r>
    </w:p>
    <w:p>
      <w:pPr>
        <w:pStyle w:val="Normal"/>
        <w:spacing w:lineRule="auto" w:line="240" w:before="0" w:after="0"/>
        <w:ind w:firstLine="567"/>
        <w:jc w:val="both"/>
        <w:rPr>
          <w:rFonts w:ascii="Times New Roman" w:hAnsi="Times New Roman" w:eastAsia="Times New Roman" w:cs="Times New Roman"/>
          <w:highlight w:val="none"/>
          <w:shd w:fill="auto" w:val="clear"/>
        </w:rPr>
      </w:pPr>
      <w:r>
        <w:rPr>
          <w:rFonts w:eastAsia="Times New Roman" w:cs="Times New Roman" w:ascii="Times New Roman" w:hAnsi="Times New Roman"/>
          <w:shd w:fill="auto" w:val="clear"/>
        </w:rPr>
      </w:r>
    </w:p>
    <w:p>
      <w:pPr>
        <w:pStyle w:val="Normal"/>
        <w:spacing w:lineRule="auto" w:line="240" w:before="0" w:after="0"/>
        <w:ind w:firstLine="567"/>
        <w:jc w:val="both"/>
        <w:rPr/>
      </w:pPr>
      <w:r>
        <w:rPr>
          <w:rFonts w:eastAsia="Times New Roman" w:cs="Times New Roman" w:ascii="Times New Roman" w:hAnsi="Times New Roman"/>
          <w:shd w:fill="auto" w:val="clear"/>
        </w:rPr>
        <w:t xml:space="preserve">Предложение может быть подано участником закупки только после прохождения процедуры аккредитации на Электронной площадке </w:t>
      </w:r>
      <w:hyperlink r:id="rId2">
        <w:r>
          <w:rPr>
            <w:rFonts w:eastAsia="Times New Roman" w:cs="Times New Roman" w:ascii="Times New Roman" w:hAnsi="Times New Roman"/>
            <w:color w:val="0000FF" w:themeColor="hyperlink"/>
            <w:u w:val="single"/>
            <w:shd w:fill="auto" w:val="clear"/>
          </w:rPr>
          <w:t>etpzakupki.</w:t>
        </w:r>
        <w:r>
          <w:rPr>
            <w:rFonts w:eastAsia="Times New Roman" w:cs="Times New Roman" w:ascii="Times New Roman" w:hAnsi="Times New Roman"/>
            <w:color w:val="0000FF" w:themeColor="hyperlink"/>
            <w:u w:val="single"/>
            <w:shd w:fill="auto" w:val="clear"/>
            <w:lang w:val="en-US"/>
          </w:rPr>
          <w:t>tatar</w:t>
        </w:r>
      </w:hyperlink>
      <w:r>
        <w:rPr>
          <w:rFonts w:eastAsia="Times New Roman" w:cs="Times New Roman" w:ascii="Times New Roman" w:hAnsi="Times New Roman"/>
          <w:shd w:fill="auto" w:val="clear"/>
        </w:rPr>
        <w:t xml:space="preserve"> в соответствии с требованиями оператора площадки, в форме электронного </w:t>
      </w:r>
      <w:r>
        <w:rPr>
          <w:rFonts w:eastAsia="Times New Roman" w:cs="Times New Roman" w:ascii="Times New Roman" w:hAnsi="Times New Roman"/>
          <w:shd w:fill="auto" w:val="clear"/>
          <w:lang w:bidi="ru-RU"/>
        </w:rPr>
        <w:t xml:space="preserve">документа, подписанного электронной подписью. Подача предложения иными способами не допускается. </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lang w:bidi="ru-RU"/>
        </w:rPr>
        <w:t xml:space="preserve">Участник конкурентного отбора вправе подать только </w:t>
      </w:r>
      <w:r>
        <w:rPr>
          <w:rFonts w:eastAsia="Times New Roman" w:cs="Times New Roman" w:ascii="Times New Roman" w:hAnsi="Times New Roman"/>
          <w:b/>
          <w:shd w:fill="auto" w:val="clear"/>
          <w:lang w:bidi="ru-RU"/>
        </w:rPr>
        <w:t>одно предложение</w:t>
      </w:r>
      <w:r>
        <w:rPr>
          <w:rFonts w:eastAsia="Times New Roman" w:cs="Times New Roman" w:ascii="Times New Roman" w:hAnsi="Times New Roman"/>
          <w:shd w:fill="auto" w:val="clear"/>
          <w:lang w:bidi="ru-RU"/>
        </w:rPr>
        <w:t xml:space="preserve"> на участие в конкурентном отборе, внесение изменений в которое не допускается. Участник вправе отозвать предложение, поданное на участие в конкурентном отборе и подать новое предложение на участие в конкурентном отборе, до окончания срока подачи предложений, указанного в извещении о проведении конкурентного отбора.</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lang w:bidi="ru-RU"/>
        </w:rPr>
        <w:t>Любой участник конкурентного отбора вправе направить запрос о даче разъяснений положений закупочной документации в электронной форме (с помощью средств ЭТП etpzakupki.tatar)</w:t>
      </w:r>
      <w:r>
        <w:rPr>
          <w:rFonts w:eastAsia="Times New Roman" w:cs="Times New Roman" w:ascii="Times New Roman" w:hAnsi="Times New Roman"/>
          <w:b/>
          <w:i/>
          <w:shd w:fill="auto" w:val="clear"/>
          <w:lang w:bidi="ru-RU"/>
        </w:rPr>
        <w:t xml:space="preserve"> с </w:t>
      </w:r>
      <w:r>
        <w:rPr>
          <w:rFonts w:eastAsia="Times New Roman" w:cs="Times New Roman" w:ascii="Times New Roman" w:hAnsi="Times New Roman"/>
          <w:b/>
          <w:i/>
          <w:shd w:fill="auto" w:val="clear"/>
          <w:lang w:bidi="ru-RU"/>
        </w:rPr>
        <w:t>18.02.</w:t>
      </w:r>
      <w:r>
        <w:rPr>
          <w:rFonts w:eastAsia="Times New Roman" w:cs="Times New Roman" w:ascii="Times New Roman" w:hAnsi="Times New Roman"/>
          <w:b/>
          <w:i/>
          <w:shd w:fill="auto" w:val="clear"/>
          <w:lang w:bidi="ru-RU"/>
        </w:rPr>
        <w:t>202</w:t>
      </w:r>
      <w:r>
        <w:rPr>
          <w:rFonts w:eastAsia="Times New Roman" w:cs="Times New Roman" w:ascii="Times New Roman" w:hAnsi="Times New Roman"/>
          <w:b/>
          <w:i/>
          <w:shd w:fill="auto" w:val="clear"/>
          <w:lang w:bidi="ru-RU"/>
        </w:rPr>
        <w:t>6</w:t>
      </w:r>
      <w:r>
        <w:rPr>
          <w:rFonts w:eastAsia="Times New Roman" w:cs="Times New Roman" w:ascii="Times New Roman" w:hAnsi="Times New Roman"/>
          <w:b/>
          <w:i/>
          <w:shd w:fill="auto" w:val="clear"/>
          <w:lang w:bidi="ru-RU"/>
        </w:rPr>
        <w:t xml:space="preserve"> года до </w:t>
      </w:r>
      <w:r>
        <w:rPr>
          <w:rFonts w:eastAsia="Times New Roman" w:cs="Times New Roman" w:ascii="Times New Roman" w:hAnsi="Times New Roman"/>
          <w:b/>
          <w:i/>
          <w:shd w:fill="auto" w:val="clear"/>
          <w:lang w:bidi="ru-RU"/>
        </w:rPr>
        <w:t>22.02.2026</w:t>
      </w:r>
      <w:r>
        <w:rPr>
          <w:rFonts w:eastAsia="Times New Roman" w:cs="Times New Roman" w:ascii="Times New Roman" w:hAnsi="Times New Roman"/>
          <w:b/>
          <w:i/>
          <w:shd w:fill="auto" w:val="clear"/>
          <w:lang w:bidi="ru-RU"/>
        </w:rPr>
        <w:t xml:space="preserve"> года включительно.</w:t>
      </w:r>
      <w:r>
        <w:rPr>
          <w:rFonts w:eastAsia="Times New Roman" w:cs="Times New Roman" w:ascii="Times New Roman" w:hAnsi="Times New Roman"/>
          <w:shd w:fill="auto" w:val="clear"/>
          <w:lang w:bidi="ru-RU"/>
        </w:rPr>
        <w:t xml:space="preserve"> </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lang w:bidi="ru-RU"/>
        </w:rPr>
        <w:t>В течение одного рабочего дня с даты поступления указанного запроса, но не позднее даты и времени окончания подачи предложений участниками конкурентного отбора Заказчик осуществляет разъяснение положений документации конкурентного отбора и размещает их на ЭТП etpzakupki.tatar.</w:t>
      </w:r>
    </w:p>
    <w:p>
      <w:pPr>
        <w:pStyle w:val="Normal"/>
        <w:spacing w:lineRule="auto" w:line="240" w:before="0" w:after="0"/>
        <w:ind w:firstLine="567"/>
        <w:jc w:val="both"/>
        <w:rPr>
          <w:rFonts w:ascii="Times New Roman" w:hAnsi="Times New Roman" w:eastAsia="Calibri" w:cs="Times New Roman"/>
          <w:b/>
          <w:highlight w:val="none"/>
          <w:shd w:fill="auto" w:val="clear"/>
        </w:rPr>
      </w:pPr>
      <w:r>
        <w:rPr>
          <w:rFonts w:eastAsia="Calibri" w:cs="Times New Roman" w:ascii="Times New Roman" w:hAnsi="Times New Roman"/>
          <w:b/>
          <w:shd w:fill="auto" w:val="clear"/>
        </w:rPr>
      </w:r>
    </w:p>
    <w:p>
      <w:pPr>
        <w:pStyle w:val="Normal"/>
        <w:spacing w:lineRule="auto" w:line="240" w:before="0" w:after="0"/>
        <w:ind w:firstLine="567"/>
        <w:jc w:val="both"/>
        <w:rPr>
          <w:highlight w:val="none"/>
          <w:shd w:fill="auto" w:val="clear"/>
        </w:rPr>
      </w:pPr>
      <w:r>
        <w:rPr>
          <w:rFonts w:eastAsia="Calibri" w:cs="Times New Roman" w:ascii="Times New Roman" w:hAnsi="Times New Roman"/>
          <w:b/>
          <w:shd w:fill="auto" w:val="clear"/>
        </w:rPr>
        <w:t xml:space="preserve">Раздел </w:t>
      </w:r>
      <w:r>
        <w:rPr>
          <w:rFonts w:eastAsia="Calibri" w:cs="Times New Roman" w:ascii="Times New Roman" w:hAnsi="Times New Roman"/>
          <w:b/>
          <w:shd w:fill="auto" w:val="clear"/>
          <w:lang w:val="en-US"/>
        </w:rPr>
        <w:t>II</w:t>
      </w:r>
      <w:r>
        <w:rPr>
          <w:rFonts w:eastAsia="Calibri" w:cs="Times New Roman" w:ascii="Times New Roman" w:hAnsi="Times New Roman"/>
          <w:b/>
          <w:shd w:fill="auto" w:val="clear"/>
        </w:rPr>
        <w:t>.</w:t>
      </w:r>
      <w:r>
        <w:rPr>
          <w:rFonts w:eastAsia="Times New Roman" w:cs="Times New Roman" w:ascii="Times New Roman" w:hAnsi="Times New Roman"/>
          <w:shd w:fill="auto" w:val="clear"/>
        </w:rPr>
        <w:t xml:space="preserve"> </w:t>
      </w:r>
      <w:r>
        <w:rPr>
          <w:rFonts w:eastAsia="Times New Roman" w:cs="Times New Roman" w:ascii="Times New Roman" w:hAnsi="Times New Roman"/>
          <w:b/>
          <w:shd w:fill="auto" w:val="clear"/>
        </w:rPr>
        <w:t>Требования к содержанию предложения участника закупки.</w:t>
      </w:r>
    </w:p>
    <w:p>
      <w:pPr>
        <w:pStyle w:val="Normal"/>
        <w:spacing w:lineRule="auto" w:line="240" w:before="0" w:after="0"/>
        <w:ind w:firstLine="567"/>
        <w:jc w:val="both"/>
        <w:rPr>
          <w:rFonts w:ascii="Times New Roman" w:hAnsi="Times New Roman" w:eastAsia="Times New Roman" w:cs="Times New Roman"/>
          <w:b/>
          <w:highlight w:val="none"/>
          <w:shd w:fill="auto" w:val="clear"/>
        </w:rPr>
      </w:pPr>
      <w:r>
        <w:rPr>
          <w:rFonts w:eastAsia="Times New Roman" w:cs="Times New Roman" w:ascii="Times New Roman" w:hAnsi="Times New Roman"/>
          <w:b/>
          <w:shd w:fill="auto" w:val="clear"/>
        </w:rPr>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Предложение на участие в конкурентном отборе должно содержать следующие</w:t>
      </w:r>
      <w:r>
        <w:rPr>
          <w:rFonts w:eastAsia="Calibri" w:cs="Times New Roman" w:ascii="Times New Roman" w:hAnsi="Times New Roman"/>
          <w:shd w:fill="auto" w:val="clear"/>
        </w:rPr>
        <w:t xml:space="preserve"> </w:t>
      </w:r>
      <w:r>
        <w:rPr>
          <w:rFonts w:eastAsia="Calibri" w:cs="Times New Roman" w:ascii="Times New Roman" w:hAnsi="Times New Roman"/>
          <w:i/>
          <w:u w:val="single"/>
          <w:shd w:fill="auto" w:val="clear"/>
        </w:rPr>
        <w:t>обязательные документы и информацию:</w:t>
      </w:r>
    </w:p>
    <w:p>
      <w:pPr>
        <w:pStyle w:val="Normal"/>
        <w:spacing w:lineRule="auto" w:line="240" w:before="0" w:after="0"/>
        <w:ind w:firstLine="567"/>
        <w:jc w:val="both"/>
        <w:rPr>
          <w:highlight w:val="none"/>
          <w:shd w:fill="auto" w:val="clear"/>
        </w:rPr>
      </w:pPr>
      <w:r>
        <w:rPr>
          <w:rFonts w:eastAsia="Calibri" w:cs="Times New Roman" w:ascii="Times New Roman" w:hAnsi="Times New Roman"/>
          <w:b/>
          <w:i/>
          <w:shd w:fill="auto" w:val="clear"/>
        </w:rPr>
        <w:t>Для юридических лиц:</w:t>
      </w:r>
    </w:p>
    <w:p>
      <w:pPr>
        <w:pStyle w:val="Normal"/>
        <w:spacing w:lineRule="auto" w:line="240" w:before="0" w:after="0"/>
        <w:ind w:firstLine="567"/>
        <w:jc w:val="both"/>
        <w:rPr>
          <w:highlight w:val="none"/>
          <w:shd w:fill="auto" w:val="clear"/>
        </w:rPr>
      </w:pPr>
      <w:r>
        <w:rPr>
          <w:rFonts w:eastAsia="Calibri" w:cs="Times New Roman" w:ascii="Times New Roman" w:hAnsi="Times New Roman"/>
          <w:shd w:fill="auto" w:val="clear"/>
        </w:rPr>
        <w:t>1. Наименование, место нахождения, банковские реквизиты, контактный телефон участника закупки.</w:t>
      </w:r>
    </w:p>
    <w:p>
      <w:pPr>
        <w:pStyle w:val="Normal"/>
        <w:spacing w:lineRule="auto" w:line="240" w:before="0" w:after="0"/>
        <w:ind w:firstLine="567"/>
        <w:jc w:val="both"/>
        <w:rPr>
          <w:highlight w:val="none"/>
          <w:shd w:fill="auto" w:val="clear"/>
        </w:rPr>
      </w:pPr>
      <w:r>
        <w:rPr>
          <w:rFonts w:eastAsia="Calibri" w:cs="Times New Roman" w:ascii="Times New Roman" w:hAnsi="Times New Roman"/>
          <w:shd w:fill="auto" w:val="clear"/>
        </w:rPr>
        <w:t>2. Копия Устава.</w:t>
      </w:r>
    </w:p>
    <w:p>
      <w:pPr>
        <w:pStyle w:val="Normal"/>
        <w:spacing w:lineRule="auto" w:line="240" w:before="0" w:after="0"/>
        <w:ind w:firstLine="567"/>
        <w:jc w:val="both"/>
        <w:rPr>
          <w:highlight w:val="none"/>
          <w:shd w:fill="auto" w:val="clear"/>
        </w:rPr>
      </w:pPr>
      <w:r>
        <w:rPr>
          <w:rFonts w:eastAsia="Calibri" w:cs="Times New Roman" w:ascii="Times New Roman" w:hAnsi="Times New Roman"/>
          <w:shd w:fill="auto" w:val="clear"/>
        </w:rPr>
        <w:t>3. Идентификационный номер налогоплательщика или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w:t>
      </w:r>
    </w:p>
    <w:p>
      <w:pPr>
        <w:pStyle w:val="Normal"/>
        <w:spacing w:lineRule="auto" w:line="240" w:before="0" w:after="0"/>
        <w:ind w:firstLine="567"/>
        <w:jc w:val="both"/>
        <w:rPr>
          <w:highlight w:val="none"/>
          <w:shd w:fill="auto" w:val="clear"/>
        </w:rPr>
      </w:pPr>
      <w:r>
        <w:rPr>
          <w:rFonts w:eastAsia="Calibri" w:cs="Times New Roman" w:ascii="Times New Roman" w:hAnsi="Times New Roman"/>
          <w:shd w:fill="auto" w:val="clear"/>
        </w:rPr>
        <w:t>4. Копия документа, подтверждающая полномочия руководителя. В случае, если от имени участника закупки действует иное лицо, представляется доверенность, выданная физическому лицу на осуществление от имени участника закупки действий по участию в конкурентном отборе, заверенная печатью (при наличии печати) и подписанная руководителем участника закупки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подтверждающего полномочия этого лица.</w:t>
      </w:r>
    </w:p>
    <w:p>
      <w:pPr>
        <w:pStyle w:val="Normal"/>
        <w:spacing w:lineRule="auto" w:line="240" w:before="0" w:after="0"/>
        <w:ind w:firstLine="567"/>
        <w:jc w:val="both"/>
        <w:rPr>
          <w:highlight w:val="none"/>
          <w:shd w:fill="auto" w:val="clear"/>
        </w:rPr>
      </w:pPr>
      <w:r>
        <w:rPr>
          <w:rFonts w:eastAsia="Calibri" w:cs="Times New Roman" w:ascii="Times New Roman" w:hAnsi="Times New Roman"/>
          <w:shd w:fill="auto" w:val="clear"/>
        </w:rPr>
        <w:t>5. Декларация участника закупки в соответствии с Приложением № 1 документации конкурентного отбора.</w:t>
      </w:r>
    </w:p>
    <w:p>
      <w:pPr>
        <w:pStyle w:val="Normal"/>
        <w:spacing w:lineRule="auto" w:line="240" w:before="0" w:after="0"/>
        <w:ind w:firstLine="567"/>
        <w:contextualSpacing/>
        <w:jc w:val="both"/>
        <w:rPr>
          <w:highlight w:val="none"/>
          <w:shd w:fill="auto" w:val="clear"/>
        </w:rPr>
      </w:pPr>
      <w:r>
        <w:rPr>
          <w:rFonts w:eastAsia="Times New Roman" w:cs="Times New Roman" w:ascii="Times New Roman" w:hAnsi="Times New Roman"/>
          <w:shd w:fill="auto" w:val="clear"/>
        </w:rPr>
        <w:t>6. Выписка из Единого государственного реестра юридических лиц либо копия такой выписки.</w:t>
      </w:r>
    </w:p>
    <w:p>
      <w:pPr>
        <w:pStyle w:val="Normal"/>
        <w:spacing w:lineRule="auto" w:line="240" w:before="0" w:after="0"/>
        <w:ind w:firstLine="567"/>
        <w:contextualSpacing/>
        <w:jc w:val="both"/>
        <w:rPr>
          <w:highlight w:val="none"/>
          <w:shd w:fill="auto" w:val="clear"/>
        </w:rPr>
      </w:pPr>
      <w:r>
        <w:rPr>
          <w:rFonts w:eastAsia="Times New Roman" w:cs="Times New Roman" w:ascii="Times New Roman" w:hAnsi="Times New Roman"/>
          <w:shd w:fill="auto" w:val="clear"/>
        </w:rPr>
        <w:t>7. Наименование и объем оказываемых услуг, а также функциональные характеристики (потребительские свойства) и качественные характеристики услуг и иная информация об условиях исполнения договора.</w:t>
      </w:r>
    </w:p>
    <w:p>
      <w:pPr>
        <w:pStyle w:val="Normal"/>
        <w:spacing w:lineRule="auto" w:line="240" w:before="0" w:after="0"/>
        <w:ind w:firstLine="567"/>
        <w:contextualSpacing/>
        <w:jc w:val="both"/>
        <w:rPr>
          <w:highlight w:val="none"/>
          <w:shd w:fill="auto" w:val="clear"/>
        </w:rPr>
      </w:pPr>
      <w:r>
        <w:rPr>
          <w:rFonts w:eastAsia="Times New Roman" w:cs="Times New Roman" w:ascii="Times New Roman" w:hAnsi="Times New Roman"/>
          <w:shd w:fill="auto" w:val="clear"/>
        </w:rPr>
        <w:t xml:space="preserve">Не допускается неоднозначного толкования в предложении участника конкурентного отбора. </w:t>
      </w:r>
    </w:p>
    <w:p>
      <w:pPr>
        <w:pStyle w:val="Normal"/>
        <w:spacing w:lineRule="auto" w:line="240" w:before="0" w:after="0"/>
        <w:ind w:firstLine="567"/>
        <w:contextualSpacing/>
        <w:jc w:val="both"/>
        <w:rPr>
          <w:highlight w:val="none"/>
          <w:shd w:fill="auto" w:val="clear"/>
        </w:rPr>
      </w:pPr>
      <w:r>
        <w:rPr>
          <w:rFonts w:eastAsia="Times New Roman" w:cs="Times New Roman" w:ascii="Times New Roman" w:hAnsi="Times New Roman"/>
          <w:shd w:fill="auto" w:val="clear"/>
        </w:rPr>
        <w:t>8. Согласие участника закупки исполнить условия договора, указанные в извещении о проведении конкурентного отбора и закупочной документации.</w:t>
      </w:r>
    </w:p>
    <w:p>
      <w:pPr>
        <w:pStyle w:val="Normal"/>
        <w:spacing w:lineRule="auto" w:line="240" w:before="0" w:after="0"/>
        <w:ind w:firstLine="567"/>
        <w:contextualSpacing/>
        <w:jc w:val="both"/>
        <w:rPr>
          <w:highlight w:val="none"/>
          <w:shd w:fill="auto" w:val="clear"/>
        </w:rPr>
      </w:pPr>
      <w:r>
        <w:rPr>
          <w:rFonts w:eastAsia="Times New Roman" w:cs="Times New Roman" w:ascii="Times New Roman" w:hAnsi="Times New Roman"/>
          <w:shd w:fill="auto" w:val="clear"/>
        </w:rPr>
        <w:t>9. Документы, подтверждающие квалификацию участника закупки в соответствии с установленными критериями оценки предложений (Раздел III Критерии оценки предложений участников закупки).</w:t>
      </w:r>
    </w:p>
    <w:p>
      <w:pPr>
        <w:pStyle w:val="Normal"/>
        <w:spacing w:lineRule="auto" w:line="240" w:before="0" w:after="0"/>
        <w:ind w:firstLine="567"/>
        <w:contextualSpacing/>
        <w:jc w:val="both"/>
        <w:rPr>
          <w:rFonts w:ascii="Times New Roman" w:hAnsi="Times New Roman" w:eastAsia="Times New Roman" w:cs="Times New Roman"/>
          <w:highlight w:val="none"/>
          <w:shd w:fill="auto" w:val="clear"/>
        </w:rPr>
      </w:pPr>
      <w:r>
        <w:rPr>
          <w:rFonts w:eastAsia="Times New Roman" w:cs="Times New Roman" w:ascii="Times New Roman" w:hAnsi="Times New Roman"/>
          <w:shd w:fill="auto" w:val="clear"/>
        </w:rPr>
      </w:r>
    </w:p>
    <w:p>
      <w:pPr>
        <w:pStyle w:val="Normal"/>
        <w:spacing w:lineRule="auto" w:line="240" w:before="0" w:after="0"/>
        <w:ind w:firstLine="567"/>
        <w:contextualSpacing/>
        <w:jc w:val="both"/>
        <w:rPr>
          <w:highlight w:val="none"/>
          <w:shd w:fill="auto" w:val="clear"/>
        </w:rPr>
      </w:pPr>
      <w:r>
        <w:rPr>
          <w:rFonts w:eastAsia="Times New Roman" w:cs="Times New Roman" w:ascii="Times New Roman" w:hAnsi="Times New Roman"/>
          <w:b/>
          <w:i/>
          <w:shd w:fill="auto" w:val="clear"/>
        </w:rPr>
        <w:t>Для индивидуальных предпринимателей (в том числе для физических лиц):</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1. Наименование, фамилия, имя, отчество (при наличии), место жительства, банковские реквизиты, контактный телефон участника закупки.</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2. Идентификационный номер налогоплательщика или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3. Копия паспорта (с обязательным указанием регистрации по месту жительства).</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4. Выписка из Единого государственного реестра индивидуальных предпринимателей либо копия такой выписки.</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 xml:space="preserve">5. </w:t>
      </w:r>
      <w:r>
        <w:rPr>
          <w:rFonts w:eastAsia="Calibri" w:cs="Times New Roman" w:ascii="Times New Roman" w:hAnsi="Times New Roman"/>
          <w:shd w:fill="auto" w:val="clear"/>
        </w:rPr>
        <w:t>В случае, если от имени участника закупки действует иное лицо, представляется доверенность, выданная физическому лицу на осуществление от имени участника закупки действий по участию в конкурентном отборе, заверенная печатью (при наличии печати) и подписанная руководителем участника закупки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подтверждающего полномочия этого лица.</w:t>
      </w:r>
    </w:p>
    <w:p>
      <w:pPr>
        <w:pStyle w:val="Normal"/>
        <w:spacing w:lineRule="auto" w:line="240" w:before="0" w:after="0"/>
        <w:ind w:firstLine="567"/>
        <w:jc w:val="both"/>
        <w:rPr>
          <w:highlight w:val="none"/>
          <w:shd w:fill="auto" w:val="clear"/>
        </w:rPr>
      </w:pPr>
      <w:r>
        <w:rPr>
          <w:rFonts w:eastAsia="Calibri" w:cs="Times New Roman" w:ascii="Times New Roman" w:hAnsi="Times New Roman"/>
          <w:shd w:fill="auto" w:val="clear"/>
        </w:rPr>
        <w:t>6. Декларация участника закупки в соответствии с Приложением №1 документации конкурентного отбора;</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7. Наименование и объем оказываемых услуг, а также функциональные характеристики (потребительские свойства) и качественные характеристики услуг и иная информация об условиях исполнения договора.</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 xml:space="preserve">Не допускается неоднозначного толкования в предложении участника конкурентного отбора. </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8. Согласие участника закупки исполнить условия договора, указанные в извещении о проведении конкурентного отбора и закупочной документации.</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hd w:fill="auto" w:val="clear"/>
        </w:rPr>
        <w:t>9. Документы, подтверждающие квалификацию участника закупки в соответствии с установленными критериями оценки предложений (Раздел III Критерии оценки предложений участников закупки).</w:t>
      </w:r>
    </w:p>
    <w:p>
      <w:pPr>
        <w:pStyle w:val="Normal"/>
        <w:spacing w:lineRule="auto" w:line="240" w:before="0" w:after="0"/>
        <w:ind w:firstLine="567"/>
        <w:jc w:val="both"/>
        <w:rPr>
          <w:rFonts w:ascii="Times New Roman" w:hAnsi="Times New Roman" w:eastAsia="Calibri" w:cs="Times New Roman"/>
          <w:b/>
          <w:highlight w:val="none"/>
          <w:shd w:fill="auto" w:val="clear"/>
        </w:rPr>
      </w:pPr>
      <w:r>
        <w:rPr>
          <w:rFonts w:eastAsia="Calibri" w:cs="Times New Roman" w:ascii="Times New Roman" w:hAnsi="Times New Roman"/>
          <w:b/>
          <w:shd w:fill="auto" w:val="clear"/>
        </w:rPr>
      </w:r>
    </w:p>
    <w:p>
      <w:pPr>
        <w:pStyle w:val="Normal"/>
        <w:spacing w:before="0" w:after="200"/>
        <w:ind w:left="720" w:hanging="0"/>
        <w:contextualSpacing/>
        <w:rPr>
          <w:highlight w:val="none"/>
          <w:shd w:fill="auto" w:val="clear"/>
        </w:rPr>
      </w:pPr>
      <w:r>
        <w:rPr>
          <w:rFonts w:eastAsia="Calibri" w:cs="Times New Roman" w:ascii="Times New Roman" w:hAnsi="Times New Roman"/>
          <w:b/>
          <w:shd w:fill="auto" w:val="clear"/>
        </w:rPr>
        <w:t xml:space="preserve">Раздел </w:t>
      </w:r>
      <w:r>
        <w:rPr>
          <w:rFonts w:eastAsia="Calibri" w:cs="Times New Roman" w:ascii="Times New Roman" w:hAnsi="Times New Roman"/>
          <w:b/>
          <w:shd w:fill="auto" w:val="clear"/>
          <w:lang w:val="en-US"/>
        </w:rPr>
        <w:t>III</w:t>
      </w:r>
      <w:r>
        <w:rPr>
          <w:rFonts w:eastAsia="Calibri" w:cs="Times New Roman" w:ascii="Times New Roman" w:hAnsi="Times New Roman"/>
          <w:b/>
          <w:shd w:fill="auto" w:val="clear"/>
        </w:rPr>
        <w:t xml:space="preserve">. </w:t>
      </w:r>
      <w:r>
        <w:rPr>
          <w:rFonts w:eastAsia="Times New Roman" w:cs="Times New Roman" w:ascii="Times New Roman" w:hAnsi="Times New Roman"/>
          <w:b/>
          <w:shd w:fill="auto" w:val="clear"/>
        </w:rPr>
        <w:t>Критерии оценки предложений участников закупки.</w:t>
      </w:r>
    </w:p>
    <w:tbl>
      <w:tblPr>
        <w:tblW w:w="10643" w:type="dxa"/>
        <w:jc w:val="center"/>
        <w:tblInd w:w="0" w:type="dxa"/>
        <w:tblLayout w:type="fixed"/>
        <w:tblCellMar>
          <w:top w:w="0" w:type="dxa"/>
          <w:left w:w="108" w:type="dxa"/>
          <w:bottom w:w="0" w:type="dxa"/>
          <w:right w:w="108" w:type="dxa"/>
        </w:tblCellMar>
        <w:tblLook w:noVBand="1" w:val="04a0" w:noHBand="0" w:lastColumn="0" w:firstColumn="1" w:lastRow="0" w:firstRow="1"/>
      </w:tblPr>
      <w:tblGrid>
        <w:gridCol w:w="417"/>
        <w:gridCol w:w="2104"/>
        <w:gridCol w:w="5270"/>
        <w:gridCol w:w="1135"/>
        <w:gridCol w:w="1717"/>
      </w:tblGrid>
      <w:tr>
        <w:trPr>
          <w:trHeight w:val="126" w:hRule="atLeast"/>
        </w:trPr>
        <w:tc>
          <w:tcPr>
            <w:tcW w:w="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0" w:leader="none"/>
              </w:tabs>
              <w:spacing w:before="0" w:after="0"/>
              <w:jc w:val="center"/>
              <w:textAlignment w:val="baseline"/>
              <w:rPr>
                <w:rFonts w:ascii="Times New Roman" w:hAnsi="Times New Roman" w:eastAsia="Times New Roman" w:cs="Times New Roman"/>
                <w:b/>
                <w:color w:val="000000" w:themeColor="text1"/>
                <w:sz w:val="20"/>
                <w:szCs w:val="20"/>
                <w:highlight w:val="none"/>
                <w:shd w:fill="auto" w:val="clear"/>
                <w:lang w:eastAsia="ru-RU"/>
              </w:rPr>
            </w:pPr>
            <w:r>
              <w:rPr>
                <w:rFonts w:eastAsia="Times New Roman" w:cs="Times New Roman" w:ascii="Times New Roman" w:hAnsi="Times New Roman"/>
                <w:b/>
                <w:color w:val="000000" w:themeColor="text1"/>
                <w:sz w:val="20"/>
                <w:szCs w:val="20"/>
                <w:shd w:fill="auto" w:val="clear"/>
                <w:lang w:eastAsia="ru-RU"/>
              </w:rPr>
              <w:t>№</w:t>
            </w:r>
          </w:p>
        </w:tc>
        <w:tc>
          <w:tcPr>
            <w:tcW w:w="21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0" w:leader="none"/>
              </w:tabs>
              <w:spacing w:before="0" w:after="0"/>
              <w:jc w:val="center"/>
              <w:textAlignment w:val="baseline"/>
              <w:rPr>
                <w:rFonts w:ascii="Times New Roman" w:hAnsi="Times New Roman" w:eastAsia="Times New Roman" w:cs="Times New Roman"/>
                <w:b/>
                <w:color w:val="000000" w:themeColor="text1"/>
                <w:sz w:val="20"/>
                <w:szCs w:val="20"/>
                <w:highlight w:val="none"/>
                <w:shd w:fill="auto" w:val="clear"/>
                <w:lang w:eastAsia="ru-RU"/>
              </w:rPr>
            </w:pPr>
            <w:r>
              <w:rPr>
                <w:rFonts w:eastAsia="Times New Roman" w:cs="Times New Roman" w:ascii="Times New Roman" w:hAnsi="Times New Roman"/>
                <w:b/>
                <w:color w:val="000000" w:themeColor="text1"/>
                <w:sz w:val="20"/>
                <w:szCs w:val="20"/>
                <w:shd w:fill="auto" w:val="clear"/>
                <w:lang w:eastAsia="ru-RU"/>
              </w:rPr>
              <w:t>Наименование критерия</w:t>
            </w:r>
          </w:p>
        </w:tc>
        <w:tc>
          <w:tcPr>
            <w:tcW w:w="527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0" w:leader="none"/>
              </w:tabs>
              <w:spacing w:before="0" w:after="0"/>
              <w:jc w:val="center"/>
              <w:textAlignment w:val="baseline"/>
              <w:rPr>
                <w:rFonts w:ascii="Times New Roman" w:hAnsi="Times New Roman" w:eastAsia="Times New Roman" w:cs="Times New Roman"/>
                <w:b/>
                <w:color w:val="000000" w:themeColor="text1"/>
                <w:sz w:val="20"/>
                <w:szCs w:val="20"/>
                <w:highlight w:val="none"/>
                <w:shd w:fill="auto" w:val="clear"/>
                <w:lang w:eastAsia="ru-RU"/>
              </w:rPr>
            </w:pPr>
            <w:r>
              <w:rPr>
                <w:rFonts w:eastAsia="Times New Roman" w:cs="Times New Roman" w:ascii="Times New Roman" w:hAnsi="Times New Roman"/>
                <w:b/>
                <w:color w:val="000000" w:themeColor="text1"/>
                <w:sz w:val="20"/>
                <w:szCs w:val="20"/>
                <w:shd w:fill="auto" w:val="clear"/>
                <w:lang w:eastAsia="ru-RU"/>
              </w:rPr>
              <w:t>Подтверждающие документы</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0" w:leader="none"/>
              </w:tabs>
              <w:spacing w:before="0" w:after="0"/>
              <w:jc w:val="center"/>
              <w:textAlignment w:val="baseline"/>
              <w:rPr>
                <w:rFonts w:ascii="Times New Roman" w:hAnsi="Times New Roman" w:eastAsia="Times New Roman" w:cs="Times New Roman"/>
                <w:b/>
                <w:color w:val="000000" w:themeColor="text1"/>
                <w:sz w:val="20"/>
                <w:szCs w:val="20"/>
                <w:highlight w:val="none"/>
                <w:shd w:fill="auto" w:val="clear"/>
                <w:lang w:eastAsia="ru-RU"/>
              </w:rPr>
            </w:pPr>
            <w:r>
              <w:rPr>
                <w:rFonts w:eastAsia="Times New Roman" w:cs="Times New Roman" w:ascii="Times New Roman" w:hAnsi="Times New Roman"/>
                <w:b/>
                <w:color w:val="000000" w:themeColor="text1"/>
                <w:sz w:val="20"/>
                <w:szCs w:val="20"/>
                <w:shd w:fill="auto" w:val="clear"/>
                <w:lang w:eastAsia="ru-RU"/>
              </w:rPr>
              <w:t>Кол-во баллов</w:t>
            </w:r>
          </w:p>
        </w:tc>
        <w:tc>
          <w:tcPr>
            <w:tcW w:w="171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0" w:leader="none"/>
              </w:tabs>
              <w:spacing w:before="0" w:after="0"/>
              <w:jc w:val="center"/>
              <w:textAlignment w:val="baseline"/>
              <w:rPr>
                <w:rFonts w:ascii="Times New Roman" w:hAnsi="Times New Roman" w:eastAsia="Times New Roman" w:cs="Times New Roman"/>
                <w:b/>
                <w:color w:val="000000" w:themeColor="text1"/>
                <w:sz w:val="20"/>
                <w:szCs w:val="20"/>
                <w:highlight w:val="none"/>
                <w:shd w:fill="auto" w:val="clear"/>
                <w:lang w:eastAsia="ru-RU"/>
              </w:rPr>
            </w:pPr>
            <w:r>
              <w:rPr>
                <w:rFonts w:eastAsia="Times New Roman" w:cs="Times New Roman" w:ascii="Times New Roman" w:hAnsi="Times New Roman"/>
                <w:b/>
                <w:color w:val="000000" w:themeColor="text1"/>
                <w:sz w:val="20"/>
                <w:szCs w:val="20"/>
                <w:shd w:fill="auto" w:val="clear"/>
                <w:lang w:eastAsia="ru-RU"/>
              </w:rPr>
              <w:t>Коэффициент значимости показателя критерия (Ni)</w:t>
            </w:r>
          </w:p>
        </w:tc>
      </w:tr>
      <w:tr>
        <w:trPr>
          <w:trHeight w:val="80" w:hRule="atLeast"/>
        </w:trPr>
        <w:tc>
          <w:tcPr>
            <w:tcW w:w="10643"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textAlignment w:val="baseline"/>
              <w:rPr>
                <w:rFonts w:ascii="Times New Roman" w:hAnsi="Times New Roman" w:eastAsia="Times New Roman" w:cs="Times New Roman"/>
                <w:b/>
                <w:color w:val="000000" w:themeColor="text1"/>
                <w:sz w:val="20"/>
                <w:szCs w:val="20"/>
                <w:highlight w:val="none"/>
                <w:shd w:fill="auto" w:val="clear"/>
                <w:lang w:eastAsia="ru-RU"/>
              </w:rPr>
            </w:pPr>
            <w:r>
              <w:rPr>
                <w:rFonts w:eastAsia="Times New Roman" w:cs="Times New Roman" w:ascii="Times New Roman" w:hAnsi="Times New Roman"/>
                <w:b/>
                <w:color w:val="000000" w:themeColor="text1"/>
                <w:sz w:val="20"/>
                <w:szCs w:val="20"/>
                <w:shd w:fill="auto" w:val="clear"/>
                <w:lang w:eastAsia="ru-RU"/>
              </w:rPr>
              <w:t>Квалификация участника закупки (Kci - значимость критерия «квалификация участника закупки» - 55%):</w:t>
            </w:r>
          </w:p>
        </w:tc>
      </w:tr>
      <w:tr>
        <w:trPr>
          <w:trHeight w:val="5406" w:hRule="atLeast"/>
        </w:trPr>
        <w:tc>
          <w:tcPr>
            <w:tcW w:w="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1</w:t>
            </w:r>
          </w:p>
        </w:tc>
        <w:tc>
          <w:tcPr>
            <w:tcW w:w="2104" w:type="dxa"/>
            <w:tcBorders>
              <w:top w:val="single" w:sz="4" w:space="0" w:color="000000"/>
              <w:left w:val="single" w:sz="4" w:space="0" w:color="000000"/>
              <w:bottom w:val="single" w:sz="4" w:space="0" w:color="000000"/>
            </w:tcBorders>
            <w:vAlign w:val="center"/>
          </w:tcPr>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Деловая репутация участника закупки</w:t>
            </w:r>
          </w:p>
        </w:tc>
        <w:tc>
          <w:tcPr>
            <w:tcW w:w="527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Наличие у участника закупки опыта оказания услуг по фото и видеосъемке и/или созданию видеофильмов и/или видеороликов:</w:t>
            </w:r>
          </w:p>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 отсутствие договора(-ов), контракта(-ов) –</w:t>
            </w:r>
          </w:p>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0 баллов;</w:t>
            </w:r>
          </w:p>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 договор(-ы), контракт(-ы) на общую сумму до 1 млн. руб. – 25 баллов;</w:t>
            </w:r>
          </w:p>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 договор(-ы), контракт(-ы) на общую сумму от 1 млн. руб. включительно до 2 млн.руб. – 50 баллов;</w:t>
            </w:r>
          </w:p>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 договор(-ы), контракт(-ы) на общую сумму от 2 млн. руб. включительно до 3 млн.руб. – 75 баллов;</w:t>
            </w:r>
          </w:p>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 договор(-ы), контракт(-ы) на общую сумму от 3 млн. руб. включительно и более – 100 баллов.</w:t>
            </w:r>
          </w:p>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p>
            <w:pPr>
              <w:pStyle w:val="Normal"/>
              <w:widowControl w:val="false"/>
              <w:spacing w:lineRule="auto" w:line="240" w:before="0" w:after="0"/>
              <w:jc w:val="both"/>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Участник закупки в подтверждение критерия представляет копии(-ю) договоров(-а) и/или контрактов(-а)*, заключенных(-ого) и исполненных(-ого) в полном объёме за период с 2022 года до даты размещения закупочной документации, с надлежаще оформленными документами**, подтверждающими исполнение договоров(-а) и/или контрактов(-а) на оказание услуг по фото и видеосъемке и/или созданию видеофильмов и/или видеороликов</w:t>
            </w:r>
          </w:p>
        </w:tc>
        <w:tc>
          <w:tcPr>
            <w:tcW w:w="1135" w:type="dxa"/>
            <w:tcBorders>
              <w:top w:val="single" w:sz="4" w:space="0" w:color="000000"/>
              <w:left w:val="single" w:sz="4" w:space="0" w:color="000000"/>
              <w:bottom w:val="single" w:sz="4" w:space="0" w:color="000000"/>
            </w:tcBorders>
            <w:vAlign w:val="center"/>
          </w:tcPr>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100</w:t>
            </w:r>
          </w:p>
        </w:tc>
        <w:tc>
          <w:tcPr>
            <w:tcW w:w="1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100%</w:t>
            </w:r>
          </w:p>
        </w:tc>
      </w:tr>
      <w:tr>
        <w:trPr>
          <w:trHeight w:val="105" w:hRule="atLeast"/>
        </w:trPr>
        <w:tc>
          <w:tcPr>
            <w:tcW w:w="10643"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textAlignment w:val="baseline"/>
              <w:rPr>
                <w:rFonts w:ascii="Times New Roman" w:hAnsi="Times New Roman" w:eastAsia="Times New Roman" w:cs="Times New Roman"/>
                <w:b/>
                <w:color w:val="000000" w:themeColor="text1"/>
                <w:sz w:val="20"/>
                <w:szCs w:val="20"/>
                <w:highlight w:val="none"/>
                <w:shd w:fill="auto" w:val="clear"/>
                <w:lang w:eastAsia="ru-RU"/>
              </w:rPr>
            </w:pPr>
            <w:r>
              <w:rPr>
                <w:rFonts w:eastAsia="Times New Roman" w:cs="Times New Roman" w:ascii="Times New Roman" w:hAnsi="Times New Roman"/>
                <w:b/>
                <w:color w:val="000000" w:themeColor="text1"/>
                <w:sz w:val="20"/>
                <w:szCs w:val="20"/>
                <w:shd w:fill="auto" w:val="clear"/>
                <w:lang w:eastAsia="ru-RU"/>
              </w:rPr>
              <w:t>Цена за единицу(Kai - значимость критерия «цена за единицу» - 45%):</w:t>
            </w:r>
          </w:p>
        </w:tc>
      </w:tr>
      <w:tr>
        <w:trPr>
          <w:trHeight w:val="105" w:hRule="atLeast"/>
        </w:trPr>
        <w:tc>
          <w:tcPr>
            <w:tcW w:w="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1</w:t>
            </w:r>
          </w:p>
        </w:tc>
        <w:tc>
          <w:tcPr>
            <w:tcW w:w="21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Цена за единицу</w:t>
            </w:r>
          </w:p>
        </w:tc>
        <w:tc>
          <w:tcPr>
            <w:tcW w:w="527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t>100</w:t>
            </w:r>
          </w:p>
        </w:tc>
        <w:tc>
          <w:tcPr>
            <w:tcW w:w="1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textAlignment w:val="baseline"/>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tc>
      </w:tr>
    </w:tbl>
    <w:p>
      <w:pPr>
        <w:pStyle w:val="Normal"/>
        <w:spacing w:before="0" w:after="200"/>
        <w:ind w:left="720" w:hanging="0"/>
        <w:contextualSpacing/>
        <w:rPr>
          <w:rFonts w:ascii="Times New Roman" w:hAnsi="Times New Roman" w:eastAsia="Times New Roman" w:cs="Times New Roman"/>
          <w:bCs/>
          <w:i/>
          <w:i/>
          <w:color w:val="000000"/>
          <w:sz w:val="20"/>
          <w:szCs w:val="20"/>
          <w:highlight w:val="none"/>
          <w:shd w:fill="auto" w:val="clear"/>
        </w:rPr>
      </w:pPr>
      <w:r>
        <w:rPr>
          <w:rFonts w:eastAsia="Times New Roman" w:cs="Times New Roman" w:ascii="Times New Roman" w:hAnsi="Times New Roman"/>
          <w:bCs/>
          <w:i/>
          <w:color w:val="000000"/>
          <w:sz w:val="20"/>
          <w:szCs w:val="20"/>
          <w:shd w:fill="auto" w:val="clear"/>
        </w:rPr>
      </w:r>
    </w:p>
    <w:p>
      <w:pPr>
        <w:pStyle w:val="Normal"/>
        <w:widowControl w:val="false"/>
        <w:spacing w:lineRule="auto" w:line="240" w:before="0" w:after="0"/>
        <w:rPr>
          <w:highlight w:val="none"/>
          <w:shd w:fill="auto" w:val="clear"/>
        </w:rPr>
      </w:pPr>
      <w:r>
        <w:rPr>
          <w:rFonts w:eastAsia="Times New Roman" w:cs="Times New Roman" w:ascii="Times New Roman" w:hAnsi="Times New Roman"/>
          <w:bCs/>
          <w:i/>
          <w:color w:val="000000"/>
          <w:sz w:val="20"/>
          <w:szCs w:val="20"/>
          <w:shd w:fill="auto" w:val="clear"/>
        </w:rPr>
        <w:t>* - участник предоставляет копии(-ю) исполненных(-ого) договоров(-а) и/или контрактов(-а) в полном объеме, в том числе приложения(-е) к договорам(-у) и/или контрактам(-у) (при наличии), дополнительные(-ое) соглашения(-е) (при наличии), соглашения(-е) о расторжении (при наличии);</w:t>
      </w:r>
    </w:p>
    <w:p>
      <w:pPr>
        <w:pStyle w:val="Normal"/>
        <w:widowControl w:val="false"/>
        <w:spacing w:lineRule="auto" w:line="240" w:before="0" w:after="0"/>
        <w:rPr>
          <w:highlight w:val="none"/>
          <w:shd w:fill="auto" w:val="clear"/>
        </w:rPr>
      </w:pPr>
      <w:r>
        <w:rPr>
          <w:rFonts w:eastAsia="Times New Roman" w:cs="Times New Roman" w:ascii="Times New Roman" w:hAnsi="Times New Roman"/>
          <w:bCs/>
          <w:i/>
          <w:color w:val="000000"/>
          <w:sz w:val="20"/>
          <w:szCs w:val="20"/>
          <w:shd w:fill="auto" w:val="clear"/>
        </w:rPr>
        <w:t>** - участник предоставляет акты (выполненных работ/оказанных услуг) и/или акт приема-передачи товара и/или счета фактуры и/или товарные накладные.</w:t>
      </w:r>
    </w:p>
    <w:p>
      <w:pPr>
        <w:pStyle w:val="Normal"/>
        <w:widowControl w:val="false"/>
        <w:spacing w:lineRule="auto" w:line="240" w:before="0" w:after="0"/>
        <w:jc w:val="both"/>
        <w:rPr>
          <w:rFonts w:ascii="Times New Roman" w:hAnsi="Times New Roman" w:eastAsia="Times New Roman" w:cs="Times New Roman"/>
          <w:b/>
          <w:bCs/>
          <w:color w:val="000000" w:themeColor="text1"/>
          <w:sz w:val="20"/>
          <w:szCs w:val="20"/>
          <w:highlight w:val="none"/>
          <w:u w:val="single"/>
          <w:shd w:fill="auto" w:val="clear"/>
          <w:lang w:eastAsia="ru-RU"/>
        </w:rPr>
      </w:pPr>
      <w:r>
        <w:rPr>
          <w:rFonts w:eastAsia="Times New Roman" w:cs="Times New Roman" w:ascii="Times New Roman" w:hAnsi="Times New Roman"/>
          <w:b/>
          <w:bCs/>
          <w:color w:val="000000" w:themeColor="text1"/>
          <w:sz w:val="20"/>
          <w:szCs w:val="20"/>
          <w:u w:val="single"/>
          <w:shd w:fill="auto" w:val="clear"/>
          <w:lang w:eastAsia="ru-RU"/>
        </w:rPr>
      </w:r>
    </w:p>
    <w:p>
      <w:pPr>
        <w:pStyle w:val="Normal"/>
        <w:widowControl w:val="false"/>
        <w:spacing w:lineRule="auto" w:line="240" w:before="0" w:after="0"/>
        <w:ind w:firstLine="567"/>
        <w:jc w:val="both"/>
        <w:rPr>
          <w:highlight w:val="none"/>
          <w:shd w:fill="auto" w:val="clear"/>
        </w:rPr>
      </w:pPr>
      <w:r>
        <w:rPr>
          <w:rFonts w:eastAsia="Times New Roman" w:cs="Times New Roman" w:ascii="Times New Roman" w:hAnsi="Times New Roman"/>
          <w:b/>
          <w:bCs/>
          <w:kern w:val="2"/>
          <w:sz w:val="20"/>
          <w:szCs w:val="20"/>
          <w:u w:val="single"/>
          <w:shd w:fill="auto" w:val="clear"/>
          <w:lang w:eastAsia="ar-SA"/>
        </w:rPr>
        <w:t xml:space="preserve">Порядок рассмотрения и оценки предложений на участие в конкурентном отборе </w:t>
      </w:r>
    </w:p>
    <w:p>
      <w:pPr>
        <w:pStyle w:val="Normal"/>
        <w:widowControl w:val="false"/>
        <w:spacing w:lineRule="auto" w:line="240" w:before="0" w:after="0"/>
        <w:ind w:firstLine="567"/>
        <w:jc w:val="both"/>
        <w:rPr>
          <w:highlight w:val="none"/>
          <w:shd w:fill="auto" w:val="clear"/>
        </w:rPr>
      </w:pPr>
      <w:r>
        <w:rPr>
          <w:rFonts w:eastAsia="Times New Roman" w:cs="Times New Roman" w:ascii="Times New Roman" w:hAnsi="Times New Roman"/>
          <w:kern w:val="2"/>
          <w:sz w:val="20"/>
          <w:szCs w:val="20"/>
          <w:shd w:fill="auto" w:val="clear"/>
          <w:lang w:eastAsia="ar-SA"/>
        </w:rPr>
        <w:t>Рассмотрение и оценка предложений на участие в конкурентном отборе осуществляется методом балльной оценки. Каждый рассматриваемый критерий конкурентного отбора получает оценку в баллах. Баллы, набранные участником конкурентного отбора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конкурентного отбора.</w:t>
      </w:r>
    </w:p>
    <w:p>
      <w:pPr>
        <w:pStyle w:val="Normal"/>
        <w:widowControl w:val="false"/>
        <w:spacing w:lineRule="auto" w:line="240" w:before="0" w:after="0"/>
        <w:ind w:firstLine="567"/>
        <w:jc w:val="both"/>
        <w:rPr>
          <w:rFonts w:ascii="Times New Roman" w:hAnsi="Times New Roman" w:eastAsia="Times New Roman" w:cs="Times New Roman"/>
          <w:kern w:val="2"/>
          <w:sz w:val="20"/>
          <w:szCs w:val="20"/>
          <w:highlight w:val="none"/>
          <w:shd w:fill="auto" w:val="clear"/>
          <w:lang w:eastAsia="ar-SA"/>
        </w:rPr>
      </w:pPr>
      <w:r>
        <w:rPr>
          <w:rFonts w:eastAsia="Times New Roman" w:cs="Times New Roman" w:ascii="Times New Roman" w:hAnsi="Times New Roman"/>
          <w:kern w:val="2"/>
          <w:sz w:val="20"/>
          <w:szCs w:val="20"/>
          <w:shd w:fill="auto" w:val="clear"/>
          <w:lang w:eastAsia="ar-SA"/>
        </w:rPr>
      </w:r>
    </w:p>
    <w:p>
      <w:pPr>
        <w:pStyle w:val="Normal"/>
        <w:widowControl w:val="false"/>
        <w:spacing w:lineRule="auto" w:line="240" w:before="0" w:after="0"/>
        <w:ind w:firstLine="567"/>
        <w:jc w:val="both"/>
        <w:rPr>
          <w:highlight w:val="none"/>
          <w:shd w:fill="auto" w:val="clear"/>
        </w:rPr>
      </w:pPr>
      <w:r>
        <w:rPr>
          <w:rFonts w:eastAsia="Times New Roman" w:cs="Times New Roman" w:ascii="Times New Roman" w:hAnsi="Times New Roman"/>
          <w:kern w:val="2"/>
          <w:sz w:val="20"/>
          <w:szCs w:val="20"/>
          <w:shd w:fill="auto" w:val="clear"/>
          <w:lang w:eastAsia="ar-SA"/>
        </w:rPr>
        <w:t>Для осуществления расчетов используются следующие обозначения:</w:t>
      </w:r>
    </w:p>
    <w:p>
      <w:pPr>
        <w:pStyle w:val="Normal"/>
        <w:widowControl w:val="false"/>
        <w:spacing w:lineRule="auto" w:line="240" w:before="0" w:after="0"/>
        <w:ind w:firstLine="567"/>
        <w:jc w:val="both"/>
        <w:rPr>
          <w:rFonts w:ascii="Times New Roman" w:hAnsi="Times New Roman" w:eastAsia="Times New Roman" w:cs="Times New Roman"/>
          <w:kern w:val="2"/>
          <w:sz w:val="20"/>
          <w:szCs w:val="20"/>
          <w:highlight w:val="none"/>
          <w:shd w:fill="auto" w:val="clear"/>
          <w:lang w:eastAsia="ar-SA"/>
        </w:rPr>
      </w:pPr>
      <w:r>
        <w:rPr>
          <w:rFonts w:eastAsia="Times New Roman" w:cs="Times New Roman" w:ascii="Times New Roman" w:hAnsi="Times New Roman"/>
          <w:kern w:val="2"/>
          <w:sz w:val="20"/>
          <w:szCs w:val="20"/>
          <w:shd w:fill="auto" w:val="clear"/>
          <w:lang w:eastAsia="ar-SA"/>
        </w:rPr>
      </w:r>
    </w:p>
    <w:p>
      <w:pPr>
        <w:pStyle w:val="Normal"/>
        <w:widowControl w:val="false"/>
        <w:spacing w:lineRule="auto" w:line="240" w:before="0" w:after="0"/>
        <w:ind w:firstLine="567"/>
        <w:jc w:val="both"/>
        <w:rPr>
          <w:highlight w:val="none"/>
          <w:shd w:fill="auto" w:val="clear"/>
        </w:rPr>
      </w:pPr>
      <w:r>
        <w:rPr>
          <w:rFonts w:eastAsia="Times New Roman" w:cs="Times New Roman" w:ascii="Times New Roman" w:hAnsi="Times New Roman"/>
          <w:kern w:val="2"/>
          <w:shd w:fill="auto" w:val="clear"/>
          <w:lang w:val="en-US" w:eastAsia="ar-SA"/>
        </w:rPr>
        <w:t>K</w:t>
      </w:r>
      <w:r>
        <w:rPr>
          <w:rFonts w:eastAsia="Times New Roman" w:cs="Times New Roman" w:ascii="Times New Roman" w:hAnsi="Times New Roman"/>
          <w:kern w:val="2"/>
          <w:sz w:val="16"/>
          <w:szCs w:val="16"/>
          <w:shd w:fill="auto" w:val="clear"/>
          <w:lang w:val="en-US" w:eastAsia="ar-SA"/>
        </w:rPr>
        <w:t>c</w:t>
      </w:r>
      <w:r>
        <w:rPr>
          <w:rFonts w:eastAsia="Times New Roman" w:cs="Times New Roman" w:ascii="Times New Roman" w:hAnsi="Times New Roman"/>
          <w:kern w:val="2"/>
          <w:sz w:val="12"/>
          <w:szCs w:val="12"/>
          <w:shd w:fill="auto" w:val="clear"/>
          <w:lang w:val="en-US" w:eastAsia="ar-SA"/>
        </w:rPr>
        <w:t>i</w:t>
      </w:r>
      <w:r>
        <w:rPr>
          <w:rFonts w:eastAsia="Times New Roman" w:cs="Times New Roman" w:ascii="Times New Roman" w:hAnsi="Times New Roman"/>
          <w:kern w:val="2"/>
          <w:sz w:val="20"/>
          <w:szCs w:val="20"/>
          <w:shd w:fill="auto" w:val="clear"/>
          <w:lang w:eastAsia="ar-SA"/>
        </w:rPr>
        <w:t xml:space="preserve"> - значимость критерия «квалификация участника закупки»;</w:t>
      </w:r>
    </w:p>
    <w:p>
      <w:pPr>
        <w:pStyle w:val="Normal"/>
        <w:widowControl w:val="false"/>
        <w:spacing w:lineRule="auto" w:line="240" w:before="0" w:after="0"/>
        <w:ind w:firstLine="567"/>
        <w:jc w:val="both"/>
        <w:rPr>
          <w:highlight w:val="none"/>
          <w:shd w:fill="auto" w:val="clear"/>
        </w:rPr>
      </w:pPr>
      <w:r>
        <w:rPr>
          <w:rFonts w:eastAsia="Times New Roman" w:cs="Times New Roman" w:ascii="Times New Roman" w:hAnsi="Times New Roman"/>
          <w:kern w:val="2"/>
          <w:shd w:fill="auto" w:val="clear"/>
          <w:lang w:val="en-US" w:eastAsia="ar-SA"/>
        </w:rPr>
        <w:t>K</w:t>
      </w:r>
      <w:r>
        <w:rPr>
          <w:rFonts w:eastAsia="Times New Roman" w:cs="Times New Roman" w:ascii="Times New Roman" w:hAnsi="Times New Roman"/>
          <w:kern w:val="2"/>
          <w:sz w:val="16"/>
          <w:szCs w:val="16"/>
          <w:shd w:fill="auto" w:val="clear"/>
          <w:lang w:val="en-US" w:eastAsia="ar-SA"/>
        </w:rPr>
        <w:t>a</w:t>
      </w:r>
      <w:r>
        <w:rPr>
          <w:rFonts w:eastAsia="Times New Roman" w:cs="Times New Roman" w:ascii="Times New Roman" w:hAnsi="Times New Roman"/>
          <w:kern w:val="2"/>
          <w:sz w:val="12"/>
          <w:szCs w:val="12"/>
          <w:shd w:fill="auto" w:val="clear"/>
          <w:lang w:val="en-US" w:eastAsia="ar-SA"/>
        </w:rPr>
        <w:t>i</w:t>
      </w:r>
      <w:r>
        <w:rPr>
          <w:rFonts w:eastAsia="Times New Roman" w:cs="Times New Roman" w:ascii="Times New Roman" w:hAnsi="Times New Roman"/>
          <w:kern w:val="2"/>
          <w:sz w:val="20"/>
          <w:szCs w:val="20"/>
          <w:shd w:fill="auto" w:val="clear"/>
          <w:lang w:eastAsia="ar-SA"/>
        </w:rPr>
        <w:t xml:space="preserve"> - значимость критерия «цена за единицу».</w:t>
      </w:r>
    </w:p>
    <w:p>
      <w:pPr>
        <w:pStyle w:val="Normal"/>
        <w:widowControl w:val="false"/>
        <w:spacing w:lineRule="auto" w:line="240" w:before="0" w:after="0"/>
        <w:ind w:firstLine="567"/>
        <w:jc w:val="both"/>
        <w:rPr>
          <w:rFonts w:ascii="Times New Roman" w:hAnsi="Times New Roman" w:eastAsia="Times New Roman" w:cs="Times New Roman"/>
          <w:kern w:val="2"/>
          <w:sz w:val="20"/>
          <w:szCs w:val="20"/>
          <w:highlight w:val="none"/>
          <w:shd w:fill="auto" w:val="clear"/>
          <w:lang w:eastAsia="ar-SA"/>
        </w:rPr>
      </w:pPr>
      <w:r>
        <w:rPr>
          <w:rFonts w:eastAsia="Times New Roman" w:cs="Times New Roman" w:ascii="Times New Roman" w:hAnsi="Times New Roman"/>
          <w:kern w:val="2"/>
          <w:sz w:val="20"/>
          <w:szCs w:val="20"/>
          <w:shd w:fill="auto" w:val="clear"/>
          <w:lang w:eastAsia="ar-SA"/>
        </w:rPr>
      </w:r>
    </w:p>
    <w:p>
      <w:pPr>
        <w:pStyle w:val="Normal"/>
        <w:widowControl w:val="false"/>
        <w:numPr>
          <w:ilvl w:val="0"/>
          <w:numId w:val="0"/>
        </w:numPr>
        <w:spacing w:lineRule="auto" w:line="240" w:before="0" w:after="0"/>
        <w:ind w:firstLine="567"/>
        <w:outlineLvl w:val="2"/>
        <w:rPr>
          <w:highlight w:val="none"/>
          <w:shd w:fill="auto" w:val="clear"/>
        </w:rPr>
      </w:pPr>
      <w:r>
        <w:rPr>
          <w:rFonts w:eastAsia="Times New Roman" w:cs="Times New Roman" w:ascii="Times New Roman" w:hAnsi="Times New Roman"/>
          <w:b/>
          <w:sz w:val="20"/>
          <w:szCs w:val="20"/>
          <w:shd w:fill="auto" w:val="clear"/>
          <w:lang w:eastAsia="ru-RU"/>
        </w:rPr>
        <w:t>1.Оценка предложений по критерию «квалификация участника закупки».</w:t>
      </w:r>
    </w:p>
    <w:p>
      <w:pPr>
        <w:pStyle w:val="Normal"/>
        <w:numPr>
          <w:ilvl w:val="0"/>
          <w:numId w:val="0"/>
        </w:numPr>
        <w:spacing w:lineRule="auto" w:line="240" w:before="0" w:after="0"/>
        <w:ind w:firstLine="567"/>
        <w:jc w:val="both"/>
        <w:outlineLvl w:val="2"/>
        <w:rPr>
          <w:highlight w:val="none"/>
          <w:shd w:fill="auto" w:val="clear"/>
        </w:rPr>
      </w:pPr>
      <w:r>
        <w:rPr>
          <w:rFonts w:eastAsia="Times New Roman" w:cs="Times New Roman" w:ascii="Times New Roman" w:hAnsi="Times New Roman"/>
          <w:sz w:val="20"/>
          <w:szCs w:val="20"/>
          <w:shd w:fill="auto" w:val="clear"/>
          <w:lang w:eastAsia="ru-RU"/>
        </w:rPr>
        <w:t>Для оценки предложений</w:t>
      </w:r>
      <w:r>
        <w:rPr>
          <w:rFonts w:eastAsia="Times New Roman" w:cs="Times New Roman" w:ascii="Times New Roman" w:hAnsi="Times New Roman"/>
          <w:sz w:val="20"/>
          <w:szCs w:val="20"/>
          <w:shd w:fill="auto" w:val="clear"/>
          <w:lang w:val="tt-RU" w:eastAsia="ru-RU"/>
        </w:rPr>
        <w:t xml:space="preserve"> </w:t>
      </w:r>
      <w:r>
        <w:rPr>
          <w:rFonts w:eastAsia="Times New Roman" w:cs="Times New Roman" w:ascii="Times New Roman" w:hAnsi="Times New Roman"/>
          <w:sz w:val="20"/>
          <w:szCs w:val="20"/>
          <w:shd w:fill="auto" w:val="clear"/>
          <w:lang w:eastAsia="ru-RU"/>
        </w:rPr>
        <w:t xml:space="preserve">по критерию «квалификация </w:t>
      </w:r>
      <w:r>
        <w:rPr>
          <w:rFonts w:eastAsia="Times New Roman" w:cs="Arial" w:ascii="Times New Roman" w:hAnsi="Times New Roman"/>
          <w:sz w:val="20"/>
          <w:szCs w:val="20"/>
          <w:shd w:fill="auto" w:val="clear"/>
          <w:lang w:eastAsia="ru-RU"/>
        </w:rPr>
        <w:t>участника закупки</w:t>
      </w:r>
      <w:r>
        <w:rPr>
          <w:rFonts w:eastAsia="Times New Roman" w:cs="Times New Roman" w:ascii="Times New Roman" w:hAnsi="Times New Roman"/>
          <w:sz w:val="20"/>
          <w:szCs w:val="20"/>
          <w:shd w:fill="auto" w:val="clear"/>
          <w:lang w:eastAsia="ru-RU"/>
        </w:rPr>
        <w:t xml:space="preserve">» предусмотрена шкала оценки по каждому показателю критерия. Сумма величин значимости показателей критерия оценки составляет 100 процентов. </w:t>
      </w:r>
    </w:p>
    <w:p>
      <w:pPr>
        <w:pStyle w:val="Normal"/>
        <w:numPr>
          <w:ilvl w:val="0"/>
          <w:numId w:val="0"/>
        </w:numPr>
        <w:spacing w:lineRule="auto" w:line="240" w:before="0" w:after="0"/>
        <w:ind w:firstLine="567"/>
        <w:jc w:val="both"/>
        <w:outlineLvl w:val="2"/>
        <w:rPr>
          <w:highlight w:val="none"/>
          <w:shd w:fill="auto" w:val="clear"/>
        </w:rPr>
      </w:pPr>
      <w:r>
        <w:rPr>
          <w:rFonts w:eastAsia="Times New Roman" w:cs="Arial" w:ascii="Times New Roman" w:hAnsi="Times New Roman"/>
          <w:sz w:val="20"/>
          <w:szCs w:val="20"/>
          <w:shd w:fill="auto" w:val="clear"/>
          <w:lang w:eastAsia="ru-RU"/>
        </w:rPr>
        <w:t>Количество баллов предложения по критерию «квалификации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r>
        <w:rPr>
          <w:rFonts w:eastAsia="Times New Roman" w:cs="Times New Roman" w:ascii="Times New Roman" w:hAnsi="Times New Roman"/>
          <w:sz w:val="20"/>
          <w:szCs w:val="20"/>
          <w:shd w:fill="auto" w:val="clear"/>
          <w:lang w:eastAsia="ru-RU"/>
        </w:rPr>
        <w:t>:</w:t>
      </w:r>
    </w:p>
    <w:p>
      <w:pPr>
        <w:pStyle w:val="Normal"/>
        <w:numPr>
          <w:ilvl w:val="0"/>
          <w:numId w:val="0"/>
        </w:numPr>
        <w:spacing w:lineRule="auto" w:line="240" w:before="0" w:after="0"/>
        <w:ind w:firstLine="360"/>
        <w:jc w:val="both"/>
        <w:outlineLvl w:val="2"/>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p>
      <w:pPr>
        <w:pStyle w:val="Normal"/>
        <w:numPr>
          <w:ilvl w:val="0"/>
          <w:numId w:val="0"/>
        </w:numPr>
        <w:spacing w:lineRule="auto" w:line="240" w:before="0" w:after="0"/>
        <w:ind w:left="3969" w:hanging="0"/>
        <w:jc w:val="both"/>
        <w:outlineLvl w:val="2"/>
        <w:rPr>
          <w:highlight w:val="none"/>
          <w:shd w:fill="auto" w:val="clear"/>
        </w:rPr>
      </w:pPr>
      <w:r>
        <w:rPr>
          <w:rFonts w:eastAsia="Times New Roman" w:cs="Times New Roman" w:ascii="Times New Roman" w:hAnsi="Times New Roman"/>
          <w:sz w:val="20"/>
          <w:szCs w:val="20"/>
          <w:shd w:fill="auto" w:val="clear"/>
          <w:lang w:val="en-US" w:eastAsia="ru-RU"/>
        </w:rPr>
        <w:t>R</w:t>
      </w:r>
      <w:r>
        <w:rPr>
          <w:rFonts w:eastAsia="Times New Roman" w:cs="Times New Roman" w:ascii="Times New Roman" w:hAnsi="Times New Roman"/>
          <w:sz w:val="16"/>
          <w:szCs w:val="16"/>
          <w:shd w:fill="auto" w:val="clear"/>
          <w:lang w:val="en-US" w:eastAsia="ru-RU"/>
        </w:rPr>
        <w:t>c</w:t>
      </w:r>
      <w:r>
        <w:rPr>
          <w:rFonts w:eastAsia="Times New Roman" w:cs="Times New Roman" w:ascii="Times New Roman" w:hAnsi="Times New Roman"/>
          <w:sz w:val="12"/>
          <w:szCs w:val="12"/>
          <w:shd w:fill="auto" w:val="clear"/>
          <w:lang w:val="en-US" w:eastAsia="ru-RU"/>
        </w:rPr>
        <w:t>i</w:t>
      </w:r>
      <w:r>
        <w:rPr>
          <w:rFonts w:eastAsia="Times New Roman" w:cs="Times New Roman" w:ascii="Times New Roman" w:hAnsi="Times New Roman"/>
          <w:sz w:val="20"/>
          <w:szCs w:val="20"/>
          <w:shd w:fill="auto" w:val="clear"/>
          <w:lang w:val="en-US" w:eastAsia="ru-RU"/>
        </w:rPr>
        <w:t xml:space="preserve"> = C</w:t>
      </w:r>
      <w:r>
        <w:rPr>
          <w:rFonts w:eastAsia="Times New Roman" w:cs="Times New Roman" w:ascii="Times New Roman" w:hAnsi="Times New Roman"/>
          <w:sz w:val="16"/>
          <w:szCs w:val="16"/>
          <w:shd w:fill="auto" w:val="clear"/>
          <w:lang w:val="en-US" w:eastAsia="ru-RU"/>
        </w:rPr>
        <w:t>i</w:t>
      </w:r>
      <w:r>
        <w:rPr>
          <w:rFonts w:eastAsia="Times New Roman" w:cs="Times New Roman" w:ascii="Times New Roman" w:hAnsi="Times New Roman"/>
          <w:sz w:val="12"/>
          <w:szCs w:val="12"/>
          <w:shd w:fill="auto" w:val="clear"/>
          <w:lang w:val="en-US" w:eastAsia="ru-RU"/>
        </w:rPr>
        <w:t xml:space="preserve">1 </w:t>
      </w:r>
      <w:r>
        <w:rPr>
          <w:rFonts w:eastAsia="Times New Roman" w:cs="Times New Roman" w:ascii="Times New Roman" w:hAnsi="Times New Roman"/>
          <w:sz w:val="20"/>
          <w:szCs w:val="20"/>
          <w:shd w:fill="auto" w:val="clear"/>
          <w:lang w:val="en-US" w:eastAsia="ru-RU"/>
        </w:rPr>
        <w:t>x N</w:t>
      </w:r>
      <w:r>
        <w:rPr>
          <w:rFonts w:eastAsia="Times New Roman" w:cs="Times New Roman" w:ascii="Times New Roman" w:hAnsi="Times New Roman"/>
          <w:sz w:val="12"/>
          <w:szCs w:val="12"/>
          <w:shd w:fill="auto" w:val="clear"/>
          <w:lang w:val="en-US" w:eastAsia="ru-RU"/>
        </w:rPr>
        <w:t>i1 +</w:t>
      </w:r>
      <w:r>
        <w:rPr>
          <w:rFonts w:eastAsia="Times New Roman" w:cs="Times New Roman" w:ascii="Times New Roman" w:hAnsi="Times New Roman"/>
          <w:sz w:val="20"/>
          <w:szCs w:val="20"/>
          <w:shd w:fill="auto" w:val="clear"/>
          <w:lang w:val="en-US" w:eastAsia="ru-RU"/>
        </w:rPr>
        <w:t xml:space="preserve"> C</w:t>
      </w:r>
      <w:r>
        <w:rPr>
          <w:rFonts w:eastAsia="Times New Roman" w:cs="Times New Roman" w:ascii="Times New Roman" w:hAnsi="Times New Roman"/>
          <w:sz w:val="16"/>
          <w:szCs w:val="16"/>
          <w:shd w:fill="auto" w:val="clear"/>
          <w:lang w:val="en-US" w:eastAsia="ru-RU"/>
        </w:rPr>
        <w:t>i</w:t>
      </w:r>
      <w:r>
        <w:rPr>
          <w:rFonts w:eastAsia="Times New Roman" w:cs="Times New Roman" w:ascii="Times New Roman" w:hAnsi="Times New Roman"/>
          <w:sz w:val="12"/>
          <w:szCs w:val="12"/>
          <w:shd w:fill="auto" w:val="clear"/>
          <w:lang w:val="en-US" w:eastAsia="ru-RU"/>
        </w:rPr>
        <w:t xml:space="preserve">2 </w:t>
      </w:r>
      <w:r>
        <w:rPr>
          <w:rFonts w:eastAsia="Times New Roman" w:cs="Times New Roman" w:ascii="Times New Roman" w:hAnsi="Times New Roman"/>
          <w:sz w:val="20"/>
          <w:szCs w:val="20"/>
          <w:shd w:fill="auto" w:val="clear"/>
          <w:lang w:val="en-US" w:eastAsia="ru-RU"/>
        </w:rPr>
        <w:t>x N</w:t>
      </w:r>
      <w:r>
        <w:rPr>
          <w:rFonts w:eastAsia="Times New Roman" w:cs="Times New Roman" w:ascii="Times New Roman" w:hAnsi="Times New Roman"/>
          <w:sz w:val="12"/>
          <w:szCs w:val="12"/>
          <w:shd w:fill="auto" w:val="clear"/>
          <w:lang w:val="en-US" w:eastAsia="ru-RU"/>
        </w:rPr>
        <w:t>i2</w:t>
      </w:r>
      <w:r>
        <w:rPr>
          <w:rFonts w:eastAsia="Times New Roman" w:cs="Times New Roman" w:ascii="Times New Roman" w:hAnsi="Times New Roman"/>
          <w:sz w:val="20"/>
          <w:szCs w:val="20"/>
          <w:shd w:fill="auto" w:val="clear"/>
          <w:lang w:val="en-US" w:eastAsia="ru-RU"/>
        </w:rPr>
        <w:t xml:space="preserve"> …+ C</w:t>
      </w:r>
      <w:r>
        <w:rPr>
          <w:rFonts w:eastAsia="Times New Roman" w:cs="Times New Roman" w:ascii="Times New Roman" w:hAnsi="Times New Roman"/>
          <w:sz w:val="16"/>
          <w:szCs w:val="16"/>
          <w:shd w:fill="auto" w:val="clear"/>
          <w:lang w:val="en-US" w:eastAsia="ru-RU"/>
        </w:rPr>
        <w:t>i</w:t>
      </w:r>
      <w:r>
        <w:rPr>
          <w:rFonts w:eastAsia="Times New Roman" w:cs="Times New Roman" w:ascii="Times New Roman" w:hAnsi="Times New Roman"/>
          <w:sz w:val="12"/>
          <w:szCs w:val="12"/>
          <w:shd w:fill="auto" w:val="clear"/>
          <w:lang w:val="en-US" w:eastAsia="ru-RU"/>
        </w:rPr>
        <w:t>n</w:t>
      </w:r>
      <w:r>
        <w:rPr>
          <w:rFonts w:eastAsia="Times New Roman" w:cs="Times New Roman" w:ascii="Times New Roman" w:hAnsi="Times New Roman"/>
          <w:sz w:val="12"/>
          <w:szCs w:val="12"/>
          <w:shd w:fill="auto" w:val="clear"/>
          <w:lang w:eastAsia="ru-RU"/>
        </w:rPr>
        <w:t xml:space="preserve"> </w:t>
      </w:r>
      <w:r>
        <w:rPr>
          <w:rFonts w:eastAsia="Times New Roman" w:cs="Times New Roman" w:ascii="Times New Roman" w:hAnsi="Times New Roman"/>
          <w:sz w:val="20"/>
          <w:szCs w:val="20"/>
          <w:shd w:fill="auto" w:val="clear"/>
          <w:lang w:val="en-US" w:eastAsia="ru-RU"/>
        </w:rPr>
        <w:t>x</w:t>
      </w:r>
      <w:r>
        <w:rPr>
          <w:rFonts w:eastAsia="Times New Roman" w:cs="Times New Roman" w:ascii="Times New Roman" w:hAnsi="Times New Roman"/>
          <w:sz w:val="20"/>
          <w:szCs w:val="20"/>
          <w:shd w:fill="auto" w:val="clear"/>
          <w:lang w:eastAsia="ru-RU"/>
        </w:rPr>
        <w:t xml:space="preserve"> </w:t>
      </w:r>
      <w:r>
        <w:rPr>
          <w:rFonts w:eastAsia="Times New Roman" w:cs="Times New Roman" w:ascii="Times New Roman" w:hAnsi="Times New Roman"/>
          <w:sz w:val="20"/>
          <w:szCs w:val="20"/>
          <w:shd w:fill="auto" w:val="clear"/>
          <w:lang w:val="en-US" w:eastAsia="ru-RU"/>
        </w:rPr>
        <w:t>N</w:t>
      </w:r>
      <w:r>
        <w:rPr>
          <w:rFonts w:eastAsia="Times New Roman" w:cs="Times New Roman" w:ascii="Times New Roman" w:hAnsi="Times New Roman"/>
          <w:sz w:val="12"/>
          <w:szCs w:val="12"/>
          <w:shd w:fill="auto" w:val="clear"/>
          <w:lang w:val="en-US" w:eastAsia="ru-RU"/>
        </w:rPr>
        <w:t>in</w:t>
      </w:r>
    </w:p>
    <w:p>
      <w:pPr>
        <w:pStyle w:val="Normal"/>
        <w:numPr>
          <w:ilvl w:val="0"/>
          <w:numId w:val="0"/>
        </w:numPr>
        <w:spacing w:lineRule="auto" w:line="240" w:before="0" w:after="0"/>
        <w:ind w:firstLine="360"/>
        <w:jc w:val="both"/>
        <w:outlineLvl w:val="2"/>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p>
      <w:pPr>
        <w:pStyle w:val="Normal"/>
        <w:numPr>
          <w:ilvl w:val="0"/>
          <w:numId w:val="0"/>
        </w:numPr>
        <w:spacing w:lineRule="auto" w:line="240" w:before="0" w:after="0"/>
        <w:ind w:firstLine="567"/>
        <w:jc w:val="both"/>
        <w:outlineLvl w:val="2"/>
        <w:rPr>
          <w:highlight w:val="none"/>
          <w:shd w:fill="auto" w:val="clear"/>
        </w:rPr>
      </w:pPr>
      <w:r>
        <w:rPr>
          <w:rFonts w:eastAsia="Times New Roman" w:cs="Times New Roman" w:ascii="Times New Roman" w:hAnsi="Times New Roman"/>
          <w:sz w:val="20"/>
          <w:szCs w:val="20"/>
          <w:shd w:fill="auto" w:val="clear"/>
          <w:lang w:val="en-US" w:eastAsia="ru-RU"/>
        </w:rPr>
        <w:t>R</w:t>
      </w:r>
      <w:r>
        <w:rPr>
          <w:rFonts w:eastAsia="Times New Roman" w:cs="Times New Roman" w:ascii="Times New Roman" w:hAnsi="Times New Roman"/>
          <w:sz w:val="16"/>
          <w:szCs w:val="16"/>
          <w:shd w:fill="auto" w:val="clear"/>
          <w:lang w:val="en-US" w:eastAsia="ru-RU"/>
        </w:rPr>
        <w:t>c</w:t>
      </w:r>
      <w:r>
        <w:rPr>
          <w:rFonts w:eastAsia="Times New Roman" w:cs="Times New Roman" w:ascii="Times New Roman" w:hAnsi="Times New Roman"/>
          <w:sz w:val="12"/>
          <w:szCs w:val="12"/>
          <w:shd w:fill="auto" w:val="clear"/>
          <w:lang w:val="en-US" w:eastAsia="ru-RU"/>
        </w:rPr>
        <w:t>i</w:t>
      </w:r>
      <w:r>
        <w:rPr>
          <w:rFonts w:eastAsia="Times New Roman" w:cs="Times New Roman" w:ascii="Times New Roman" w:hAnsi="Times New Roman"/>
          <w:sz w:val="20"/>
          <w:szCs w:val="20"/>
          <w:shd w:fill="auto" w:val="clear"/>
          <w:lang w:eastAsia="ru-RU"/>
        </w:rPr>
        <w:t xml:space="preserve"> – количество баллов, присуждаемых </w:t>
      </w:r>
      <w:r>
        <w:rPr>
          <w:rFonts w:eastAsia="Times New Roman" w:cs="Times New Roman" w:ascii="Times New Roman" w:hAnsi="Times New Roman"/>
          <w:sz w:val="20"/>
          <w:szCs w:val="20"/>
          <w:shd w:fill="auto" w:val="clear"/>
          <w:lang w:val="en-US" w:eastAsia="ru-RU"/>
        </w:rPr>
        <w:t>i</w:t>
      </w:r>
      <w:r>
        <w:rPr>
          <w:rFonts w:eastAsia="Times New Roman" w:cs="Times New Roman" w:ascii="Times New Roman" w:hAnsi="Times New Roman"/>
          <w:sz w:val="20"/>
          <w:szCs w:val="20"/>
          <w:shd w:fill="auto" w:val="clear"/>
          <w:lang w:eastAsia="ru-RU"/>
        </w:rPr>
        <w:t>-й заявке по критерию «квалификации участника закупки»;</w:t>
      </w:r>
    </w:p>
    <w:p>
      <w:pPr>
        <w:pStyle w:val="Normal"/>
        <w:numPr>
          <w:ilvl w:val="0"/>
          <w:numId w:val="0"/>
        </w:numPr>
        <w:spacing w:lineRule="auto" w:line="240" w:before="0" w:after="0"/>
        <w:ind w:firstLine="567"/>
        <w:jc w:val="both"/>
        <w:outlineLvl w:val="2"/>
        <w:rPr>
          <w:highlight w:val="none"/>
          <w:shd w:fill="auto" w:val="clear"/>
        </w:rPr>
      </w:pPr>
      <w:r>
        <w:rPr>
          <w:rFonts w:eastAsia="Times New Roman" w:cs="Times New Roman" w:ascii="Times New Roman" w:hAnsi="Times New Roman"/>
          <w:sz w:val="20"/>
          <w:szCs w:val="20"/>
          <w:shd w:fill="auto" w:val="clear"/>
          <w:lang w:val="en-US" w:eastAsia="ru-RU"/>
        </w:rPr>
        <w:t>C</w:t>
      </w:r>
      <w:r>
        <w:rPr>
          <w:rFonts w:eastAsia="Times New Roman" w:cs="Times New Roman" w:ascii="Times New Roman" w:hAnsi="Times New Roman"/>
          <w:sz w:val="16"/>
          <w:szCs w:val="16"/>
          <w:shd w:fill="auto" w:val="clear"/>
          <w:lang w:val="en-US" w:eastAsia="ru-RU"/>
        </w:rPr>
        <w:t>i</w:t>
      </w:r>
      <w:r>
        <w:rPr>
          <w:rFonts w:eastAsia="Times New Roman" w:cs="Times New Roman" w:ascii="Times New Roman" w:hAnsi="Times New Roman"/>
          <w:sz w:val="20"/>
          <w:szCs w:val="20"/>
          <w:shd w:fill="auto" w:val="clear"/>
          <w:lang w:eastAsia="ru-RU"/>
        </w:rPr>
        <w:t xml:space="preserve"> - значение в баллах, присуждаемое комиссией </w:t>
      </w:r>
      <w:r>
        <w:rPr>
          <w:rFonts w:eastAsia="Times New Roman" w:cs="Times New Roman" w:ascii="Times New Roman" w:hAnsi="Times New Roman"/>
          <w:sz w:val="20"/>
          <w:szCs w:val="20"/>
          <w:shd w:fill="auto" w:val="clear"/>
          <w:lang w:val="en-US" w:eastAsia="ru-RU"/>
        </w:rPr>
        <w:t>i</w:t>
      </w:r>
      <w:r>
        <w:rPr>
          <w:rFonts w:eastAsia="Times New Roman" w:cs="Times New Roman" w:ascii="Times New Roman" w:hAnsi="Times New Roman"/>
          <w:sz w:val="20"/>
          <w:szCs w:val="20"/>
          <w:shd w:fill="auto" w:val="clear"/>
          <w:lang w:eastAsia="ru-RU"/>
        </w:rPr>
        <w:t xml:space="preserve">-й заявке на участие в конкурентном отборе по </w:t>
      </w:r>
      <w:r>
        <w:rPr>
          <w:rFonts w:eastAsia="Times New Roman" w:cs="Times New Roman" w:ascii="Times New Roman" w:hAnsi="Times New Roman"/>
          <w:sz w:val="20"/>
          <w:szCs w:val="20"/>
          <w:shd w:fill="auto" w:val="clear"/>
          <w:lang w:val="en-US" w:eastAsia="ru-RU"/>
        </w:rPr>
        <w:t>n</w:t>
      </w:r>
      <w:r>
        <w:rPr>
          <w:rFonts w:eastAsia="Times New Roman" w:cs="Times New Roman" w:ascii="Times New Roman" w:hAnsi="Times New Roman"/>
          <w:sz w:val="20"/>
          <w:szCs w:val="20"/>
          <w:shd w:fill="auto" w:val="clear"/>
          <w:lang w:eastAsia="ru-RU"/>
        </w:rPr>
        <w:t>-му показателю;</w:t>
      </w:r>
    </w:p>
    <w:p>
      <w:pPr>
        <w:pStyle w:val="Normal"/>
        <w:numPr>
          <w:ilvl w:val="0"/>
          <w:numId w:val="0"/>
        </w:numPr>
        <w:spacing w:lineRule="auto" w:line="240" w:before="0" w:after="0"/>
        <w:ind w:firstLine="567"/>
        <w:jc w:val="both"/>
        <w:outlineLvl w:val="2"/>
        <w:rPr>
          <w:highlight w:val="none"/>
          <w:shd w:fill="auto" w:val="clear"/>
        </w:rPr>
      </w:pPr>
      <w:r>
        <w:rPr>
          <w:rFonts w:eastAsia="Times New Roman" w:cs="Times New Roman" w:ascii="Times New Roman" w:hAnsi="Times New Roman"/>
          <w:sz w:val="20"/>
          <w:szCs w:val="20"/>
          <w:shd w:fill="auto" w:val="clear"/>
          <w:lang w:val="en-US" w:eastAsia="ru-RU"/>
        </w:rPr>
        <w:t>N</w:t>
      </w:r>
      <w:r>
        <w:rPr>
          <w:rFonts w:eastAsia="Times New Roman" w:cs="Times New Roman" w:ascii="Times New Roman" w:hAnsi="Times New Roman"/>
          <w:sz w:val="12"/>
          <w:szCs w:val="12"/>
          <w:shd w:fill="auto" w:val="clear"/>
          <w:lang w:val="en-US" w:eastAsia="ru-RU"/>
        </w:rPr>
        <w:t>i</w:t>
      </w:r>
      <w:r>
        <w:rPr>
          <w:rFonts w:eastAsia="Times New Roman" w:cs="Times New Roman" w:ascii="Times New Roman" w:hAnsi="Times New Roman"/>
          <w:sz w:val="20"/>
          <w:szCs w:val="20"/>
          <w:shd w:fill="auto" w:val="clear"/>
          <w:lang w:eastAsia="ru-RU"/>
        </w:rPr>
        <w:t xml:space="preserve"> – коэффициент значимости показателя критерия «квалификации участника закупки» по n-му показателю.</w:t>
      </w:r>
    </w:p>
    <w:p>
      <w:pPr>
        <w:pStyle w:val="Normal"/>
        <w:numPr>
          <w:ilvl w:val="0"/>
          <w:numId w:val="0"/>
        </w:numPr>
        <w:spacing w:lineRule="auto" w:line="240" w:before="0" w:after="0"/>
        <w:ind w:firstLine="567"/>
        <w:jc w:val="both"/>
        <w:outlineLvl w:val="2"/>
        <w:rPr>
          <w:highlight w:val="none"/>
          <w:shd w:fill="auto" w:val="clear"/>
        </w:rPr>
      </w:pPr>
      <w:r>
        <w:rPr>
          <w:rFonts w:eastAsia="Times New Roman" w:cs="Times New Roman" w:ascii="Times New Roman" w:hAnsi="Times New Roman"/>
          <w:sz w:val="20"/>
          <w:szCs w:val="20"/>
          <w:shd w:fill="auto" w:val="clear"/>
          <w:lang w:eastAsia="ru-RU"/>
        </w:rPr>
        <w:t>При оценке заявок по критерию «квалификации</w:t>
      </w:r>
      <w:r>
        <w:rPr>
          <w:rFonts w:eastAsia="Times New Roman" w:cs="Arial" w:ascii="Times New Roman" w:hAnsi="Times New Roman"/>
          <w:sz w:val="20"/>
          <w:szCs w:val="20"/>
          <w:shd w:fill="auto" w:val="clear"/>
          <w:lang w:eastAsia="ru-RU"/>
        </w:rPr>
        <w:t xml:space="preserve"> участника закупки</w:t>
      </w:r>
      <w:r>
        <w:rPr>
          <w:rFonts w:eastAsia="Times New Roman" w:cs="Times New Roman" w:ascii="Times New Roman" w:hAnsi="Times New Roman"/>
          <w:sz w:val="20"/>
          <w:szCs w:val="20"/>
          <w:shd w:fill="auto" w:val="clear"/>
          <w:lang w:eastAsia="ru-RU"/>
        </w:rPr>
        <w:t>» наибольшее количество баллов присваивается заявке с лучшим предложением.</w:t>
      </w:r>
    </w:p>
    <w:p>
      <w:pPr>
        <w:pStyle w:val="Normal"/>
        <w:spacing w:lineRule="auto" w:line="240" w:before="0" w:after="0"/>
        <w:ind w:firstLine="360"/>
        <w:jc w:val="both"/>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p>
      <w:pPr>
        <w:pStyle w:val="Normal"/>
        <w:widowControl w:val="false"/>
        <w:numPr>
          <w:ilvl w:val="0"/>
          <w:numId w:val="0"/>
        </w:numPr>
        <w:spacing w:lineRule="auto" w:line="240" w:before="0" w:after="0"/>
        <w:ind w:firstLine="567"/>
        <w:outlineLvl w:val="2"/>
        <w:rPr>
          <w:highlight w:val="none"/>
          <w:shd w:fill="auto" w:val="clear"/>
        </w:rPr>
      </w:pPr>
      <w:r>
        <w:rPr>
          <w:rFonts w:eastAsia="Times New Roman" w:cs="Times New Roman" w:ascii="Times New Roman" w:hAnsi="Times New Roman"/>
          <w:b/>
          <w:sz w:val="20"/>
          <w:szCs w:val="20"/>
          <w:shd w:fill="auto" w:val="clear"/>
          <w:lang w:eastAsia="ru-RU"/>
        </w:rPr>
        <w:t>2.Оценка предложений по критерию «цена за единицу».</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z w:val="20"/>
          <w:szCs w:val="20"/>
          <w:shd w:fill="auto" w:val="clear"/>
          <w:lang w:eastAsia="ru-RU"/>
        </w:rPr>
        <w:t>По критерию «цена за единицу», бальное значение которого является 100 баллов, баллы присваиваются всем участникам конкурентного отбора по формуле:</w:t>
      </w:r>
    </w:p>
    <w:p>
      <w:pPr>
        <w:pStyle w:val="Normal"/>
        <w:spacing w:lineRule="auto" w:line="240" w:before="0" w:after="0"/>
        <w:ind w:firstLine="567"/>
        <w:rPr>
          <w:highlight w:val="none"/>
          <w:shd w:fill="auto" w:val="clear"/>
        </w:rPr>
      </w:pPr>
      <w:r>
        <w:rPr>
          <w:rFonts w:eastAsia="Times New Roman" w:cs="Times New Roman" w:ascii="Times New Roman" w:hAnsi="Times New Roman"/>
          <w:color w:val="000000"/>
          <w:sz w:val="20"/>
          <w:szCs w:val="20"/>
          <w:shd w:fill="auto" w:val="clear"/>
          <w:lang w:eastAsia="ru-RU"/>
        </w:rPr>
        <w:t xml:space="preserve">а) в </w:t>
      </w:r>
      <w:r>
        <w:rPr>
          <w:rFonts w:eastAsia="Times New Roman" w:cs="Times New Roman" w:ascii="Times New Roman" w:hAnsi="Times New Roman"/>
          <w:sz w:val="20"/>
          <w:szCs w:val="20"/>
          <w:shd w:fill="auto" w:val="clear"/>
          <w:lang w:eastAsia="ru-RU"/>
        </w:rPr>
        <w:t xml:space="preserve">случае если Цmin &gt; 0 </w:t>
      </w:r>
    </w:p>
    <w:p>
      <w:pPr>
        <w:pStyle w:val="Normal"/>
        <w:spacing w:lineRule="auto" w:line="240" w:before="0" w:after="0"/>
        <w:ind w:left="3969" w:hanging="0"/>
        <w:rPr>
          <w:highlight w:val="none"/>
          <w:shd w:fill="auto" w:val="clear"/>
        </w:rPr>
      </w:pPr>
      <w:r>
        <w:rPr>
          <w:rFonts w:eastAsia="Times New Roman" w:cs="Times New Roman" w:ascii="Times New Roman" w:hAnsi="Times New Roman"/>
          <w:sz w:val="20"/>
          <w:szCs w:val="20"/>
          <w:shd w:fill="auto" w:val="clear"/>
          <w:lang w:eastAsia="ru-RU"/>
        </w:rPr>
        <w:t>ЦБ</w:t>
      </w:r>
      <w:r>
        <w:rPr>
          <w:rFonts w:eastAsia="Times New Roman" w:cs="Times New Roman" w:ascii="Times New Roman" w:hAnsi="Times New Roman"/>
          <w:sz w:val="16"/>
          <w:szCs w:val="16"/>
          <w:shd w:fill="auto" w:val="clear"/>
          <w:lang w:val="en-US" w:eastAsia="ru-RU"/>
        </w:rPr>
        <w:t>i</w:t>
      </w:r>
      <w:r>
        <w:rPr>
          <w:rFonts w:eastAsia="Times New Roman" w:cs="Times New Roman" w:ascii="Times New Roman" w:hAnsi="Times New Roman"/>
          <w:sz w:val="20"/>
          <w:szCs w:val="20"/>
          <w:shd w:fill="auto" w:val="clear"/>
          <w:lang w:eastAsia="ru-RU"/>
        </w:rPr>
        <w:t>=((Ц</w:t>
      </w:r>
      <w:r>
        <w:rPr>
          <w:rFonts w:eastAsia="Times New Roman" w:cs="Times New Roman" w:ascii="Times New Roman" w:hAnsi="Times New Roman"/>
          <w:sz w:val="16"/>
          <w:szCs w:val="16"/>
          <w:shd w:fill="auto" w:val="clear"/>
          <w:lang w:eastAsia="ru-RU"/>
        </w:rPr>
        <w:t>min</w:t>
      </w:r>
      <w:r>
        <w:rPr>
          <w:rFonts w:eastAsia="Times New Roman" w:cs="Times New Roman" w:ascii="Times New Roman" w:hAnsi="Times New Roman"/>
          <w:sz w:val="10"/>
          <w:szCs w:val="10"/>
          <w:shd w:fill="auto" w:val="clear"/>
          <w:lang w:eastAsia="ru-RU"/>
        </w:rPr>
        <w:t>1</w:t>
      </w:r>
      <w:r>
        <w:rPr>
          <w:rFonts w:eastAsia="Times New Roman" w:cs="Times New Roman" w:ascii="Times New Roman" w:hAnsi="Times New Roman"/>
          <w:sz w:val="20"/>
          <w:szCs w:val="20"/>
          <w:shd w:fill="auto" w:val="clear"/>
          <w:lang w:eastAsia="ru-RU"/>
        </w:rPr>
        <w:t>/Цi</w:t>
      </w:r>
      <w:r>
        <w:rPr>
          <w:rFonts w:eastAsia="Times New Roman" w:cs="Times New Roman" w:ascii="Times New Roman" w:hAnsi="Times New Roman"/>
          <w:sz w:val="10"/>
          <w:szCs w:val="10"/>
          <w:shd w:fill="auto" w:val="clear"/>
          <w:lang w:eastAsia="ru-RU"/>
        </w:rPr>
        <w:t>1</w:t>
      </w:r>
      <w:r>
        <w:rPr>
          <w:rFonts w:eastAsia="Times New Roman" w:cs="Times New Roman" w:ascii="Times New Roman" w:hAnsi="Times New Roman"/>
          <w:sz w:val="20"/>
          <w:szCs w:val="20"/>
          <w:shd w:fill="auto" w:val="clear"/>
          <w:lang w:eastAsia="ru-RU"/>
        </w:rPr>
        <w:t xml:space="preserve">) </w:t>
      </w:r>
      <w:r>
        <w:rPr>
          <w:rFonts w:eastAsia="Times New Roman" w:cs="Times New Roman" w:ascii="Times New Roman" w:hAnsi="Times New Roman"/>
          <w:sz w:val="20"/>
          <w:szCs w:val="20"/>
          <w:shd w:fill="auto" w:val="clear"/>
          <w:lang w:val="en-US" w:eastAsia="ru-RU"/>
        </w:rPr>
        <w:t>x</w:t>
      </w:r>
      <w:r>
        <w:rPr>
          <w:rFonts w:eastAsia="Times New Roman" w:cs="Times New Roman" w:ascii="Times New Roman" w:hAnsi="Times New Roman"/>
          <w:sz w:val="20"/>
          <w:szCs w:val="20"/>
          <w:shd w:fill="auto" w:val="clear"/>
          <w:lang w:eastAsia="ru-RU"/>
        </w:rPr>
        <w:t xml:space="preserve"> 100),</w:t>
      </w:r>
    </w:p>
    <w:p>
      <w:pPr>
        <w:pStyle w:val="Normal"/>
        <w:spacing w:lineRule="auto" w:line="240" w:before="0" w:after="0"/>
        <w:ind w:firstLine="567"/>
        <w:rPr>
          <w:highlight w:val="none"/>
          <w:shd w:fill="auto" w:val="clear"/>
        </w:rPr>
      </w:pPr>
      <w:r>
        <w:rPr>
          <w:rFonts w:eastAsia="Times New Roman" w:cs="Times New Roman" w:ascii="Times New Roman" w:hAnsi="Times New Roman"/>
          <w:sz w:val="20"/>
          <w:szCs w:val="20"/>
          <w:shd w:fill="auto" w:val="clear"/>
          <w:lang w:eastAsia="ru-RU"/>
        </w:rPr>
        <w:t xml:space="preserve">где: </w:t>
      </w:r>
    </w:p>
    <w:p>
      <w:pPr>
        <w:pStyle w:val="Normal"/>
        <w:spacing w:lineRule="auto" w:line="240" w:before="0" w:after="0"/>
        <w:ind w:firstLine="567"/>
        <w:rPr>
          <w:highlight w:val="none"/>
          <w:shd w:fill="auto" w:val="clear"/>
        </w:rPr>
      </w:pPr>
      <w:r>
        <w:rPr>
          <w:rFonts w:eastAsia="Times New Roman" w:cs="Times New Roman" w:ascii="Times New Roman" w:hAnsi="Times New Roman"/>
          <w:sz w:val="20"/>
          <w:szCs w:val="20"/>
          <w:shd w:fill="auto" w:val="clear"/>
          <w:lang w:eastAsia="ru-RU"/>
        </w:rPr>
        <w:t>Ц</w:t>
      </w:r>
      <w:r>
        <w:rPr>
          <w:rFonts w:eastAsia="Times New Roman" w:cs="Times New Roman" w:ascii="Times New Roman" w:hAnsi="Times New Roman"/>
          <w:sz w:val="16"/>
          <w:szCs w:val="16"/>
          <w:shd w:fill="auto" w:val="clear"/>
          <w:lang w:eastAsia="ru-RU"/>
        </w:rPr>
        <w:t>i</w:t>
      </w:r>
      <w:r>
        <w:rPr>
          <w:rFonts w:eastAsia="Times New Roman" w:cs="Times New Roman" w:ascii="Times New Roman" w:hAnsi="Times New Roman"/>
          <w:sz w:val="20"/>
          <w:szCs w:val="20"/>
          <w:shd w:fill="auto" w:val="clear"/>
          <w:lang w:eastAsia="ru-RU"/>
        </w:rPr>
        <w:t xml:space="preserve">- предложение участника закупки, заявка (предложение) которого оценивается; </w:t>
      </w:r>
    </w:p>
    <w:p>
      <w:pPr>
        <w:pStyle w:val="Normal"/>
        <w:spacing w:lineRule="auto" w:line="240" w:before="0" w:after="0"/>
        <w:ind w:firstLine="567"/>
        <w:rPr>
          <w:highlight w:val="none"/>
          <w:shd w:fill="auto" w:val="clear"/>
        </w:rPr>
      </w:pPr>
      <w:r>
        <w:rPr>
          <w:rFonts w:eastAsia="Times New Roman" w:cs="Times New Roman" w:ascii="Times New Roman" w:hAnsi="Times New Roman"/>
          <w:sz w:val="20"/>
          <w:szCs w:val="20"/>
          <w:shd w:fill="auto" w:val="clear"/>
          <w:lang w:eastAsia="ru-RU"/>
        </w:rPr>
        <w:t>Ц</w:t>
      </w:r>
      <w:r>
        <w:rPr>
          <w:rFonts w:eastAsia="Times New Roman" w:cs="Times New Roman" w:ascii="Times New Roman" w:hAnsi="Times New Roman"/>
          <w:sz w:val="16"/>
          <w:szCs w:val="16"/>
          <w:shd w:fill="auto" w:val="clear"/>
          <w:lang w:eastAsia="ru-RU"/>
        </w:rPr>
        <w:t>min</w:t>
      </w:r>
      <w:r>
        <w:rPr>
          <w:rFonts w:eastAsia="Times New Roman" w:cs="Times New Roman" w:ascii="Times New Roman" w:hAnsi="Times New Roman"/>
          <w:sz w:val="20"/>
          <w:szCs w:val="20"/>
          <w:shd w:fill="auto" w:val="clear"/>
          <w:lang w:eastAsia="ru-RU"/>
        </w:rPr>
        <w:t xml:space="preserve">- минимальное предложение из предложений по критерию оценки, сделанных участниками закупки; </w:t>
      </w:r>
    </w:p>
    <w:p>
      <w:pPr>
        <w:pStyle w:val="Normal"/>
        <w:spacing w:lineRule="auto" w:line="240" w:before="0" w:after="0"/>
        <w:ind w:firstLine="567"/>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p>
      <w:pPr>
        <w:pStyle w:val="Normal"/>
        <w:spacing w:lineRule="auto" w:line="240" w:before="0" w:after="0"/>
        <w:ind w:firstLine="567"/>
        <w:rPr>
          <w:highlight w:val="none"/>
          <w:shd w:fill="auto" w:val="clear"/>
        </w:rPr>
      </w:pPr>
      <w:r>
        <w:rPr>
          <w:rFonts w:eastAsia="Times New Roman" w:cs="Times New Roman" w:ascii="Times New Roman" w:hAnsi="Times New Roman"/>
          <w:sz w:val="20"/>
          <w:szCs w:val="20"/>
          <w:shd w:fill="auto" w:val="clear"/>
          <w:lang w:eastAsia="ru-RU"/>
        </w:rPr>
        <w:t>б) в случае если, Цmin ≤ 0</w:t>
      </w:r>
    </w:p>
    <w:p>
      <w:pPr>
        <w:pStyle w:val="Normal"/>
        <w:spacing w:lineRule="auto" w:line="240" w:before="0" w:after="0"/>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p>
      <w:pPr>
        <w:pStyle w:val="Normal"/>
        <w:spacing w:lineRule="auto" w:line="240" w:before="0" w:after="0"/>
        <w:ind w:left="3969" w:hanging="0"/>
        <w:rPr>
          <w:highlight w:val="none"/>
          <w:shd w:fill="auto" w:val="clear"/>
        </w:rPr>
      </w:pPr>
      <w:r>
        <w:rPr>
          <w:rFonts w:eastAsia="Times New Roman" w:cs="Arial" w:ascii="Times New Roman" w:hAnsi="Times New Roman"/>
          <w:sz w:val="20"/>
          <w:szCs w:val="20"/>
          <w:shd w:fill="auto" w:val="clear"/>
          <w:lang w:eastAsia="ru-RU"/>
        </w:rPr>
        <w:t>ЦБ</w:t>
      </w:r>
      <w:r>
        <w:rPr>
          <w:rFonts w:eastAsia="Times New Roman" w:cs="Arial" w:ascii="Times New Roman" w:hAnsi="Times New Roman"/>
          <w:sz w:val="16"/>
          <w:szCs w:val="16"/>
          <w:shd w:fill="auto" w:val="clear"/>
          <w:lang w:val="en-US" w:eastAsia="ru-RU"/>
        </w:rPr>
        <w:t>i</w:t>
      </w:r>
      <w:r>
        <w:rPr>
          <w:rFonts w:eastAsia="Times New Roman" w:cs="Times New Roman" w:ascii="Times New Roman" w:hAnsi="Times New Roman"/>
          <w:sz w:val="20"/>
          <w:szCs w:val="20"/>
          <w:shd w:fill="auto" w:val="clear"/>
          <w:lang w:eastAsia="ru-RU"/>
        </w:rPr>
        <w:t>=(((Ц</w:t>
      </w:r>
      <w:r>
        <w:rPr>
          <w:rFonts w:eastAsia="Times New Roman" w:cs="Times New Roman" w:ascii="Times New Roman" w:hAnsi="Times New Roman"/>
          <w:sz w:val="16"/>
          <w:szCs w:val="16"/>
          <w:shd w:fill="auto" w:val="clear"/>
          <w:lang w:eastAsia="ru-RU"/>
        </w:rPr>
        <w:t>max</w:t>
      </w:r>
      <w:r>
        <w:rPr>
          <w:rFonts w:eastAsia="Times New Roman" w:cs="Times New Roman" w:ascii="Times New Roman" w:hAnsi="Times New Roman"/>
          <w:sz w:val="20"/>
          <w:szCs w:val="20"/>
          <w:shd w:fill="auto" w:val="clear"/>
          <w:lang w:eastAsia="ru-RU"/>
        </w:rPr>
        <w:t xml:space="preserve"> –Ц</w:t>
      </w:r>
      <w:r>
        <w:rPr>
          <w:rFonts w:eastAsia="Times New Roman" w:cs="Times New Roman" w:ascii="Times New Roman" w:hAnsi="Times New Roman"/>
          <w:sz w:val="16"/>
          <w:szCs w:val="16"/>
          <w:shd w:fill="auto" w:val="clear"/>
          <w:lang w:eastAsia="ru-RU"/>
        </w:rPr>
        <w:t>i</w:t>
      </w:r>
      <w:r>
        <w:rPr>
          <w:rFonts w:eastAsia="Times New Roman" w:cs="Times New Roman" w:ascii="Times New Roman" w:hAnsi="Times New Roman"/>
          <w:sz w:val="20"/>
          <w:szCs w:val="20"/>
          <w:shd w:fill="auto" w:val="clear"/>
          <w:lang w:eastAsia="ru-RU"/>
        </w:rPr>
        <w:t>)/ Ц</w:t>
      </w:r>
      <w:r>
        <w:rPr>
          <w:rFonts w:eastAsia="Times New Roman" w:cs="Times New Roman" w:ascii="Times New Roman" w:hAnsi="Times New Roman"/>
          <w:sz w:val="16"/>
          <w:szCs w:val="16"/>
          <w:shd w:fill="auto" w:val="clear"/>
          <w:lang w:eastAsia="ru-RU"/>
        </w:rPr>
        <w:t>max</w:t>
      </w:r>
      <w:r>
        <w:rPr>
          <w:rFonts w:eastAsia="Times New Roman" w:cs="Times New Roman" w:ascii="Times New Roman" w:hAnsi="Times New Roman"/>
          <w:sz w:val="20"/>
          <w:szCs w:val="20"/>
          <w:shd w:fill="auto" w:val="clear"/>
          <w:lang w:eastAsia="ru-RU"/>
        </w:rPr>
        <w:t xml:space="preserve">) </w:t>
      </w:r>
      <w:r>
        <w:rPr>
          <w:rFonts w:eastAsia="Times New Roman" w:cs="Times New Roman" w:ascii="Times New Roman" w:hAnsi="Times New Roman"/>
          <w:sz w:val="20"/>
          <w:szCs w:val="20"/>
          <w:shd w:fill="auto" w:val="clear"/>
          <w:lang w:val="en-US" w:eastAsia="ru-RU"/>
        </w:rPr>
        <w:t>x</w:t>
      </w:r>
      <w:r>
        <w:rPr>
          <w:rFonts w:eastAsia="Times New Roman" w:cs="Times New Roman" w:ascii="Times New Roman" w:hAnsi="Times New Roman"/>
          <w:sz w:val="20"/>
          <w:szCs w:val="20"/>
          <w:shd w:fill="auto" w:val="clear"/>
          <w:lang w:eastAsia="ru-RU"/>
        </w:rPr>
        <w:t xml:space="preserve"> 100)</w:t>
      </w:r>
    </w:p>
    <w:p>
      <w:pPr>
        <w:pStyle w:val="Normal"/>
        <w:spacing w:lineRule="auto" w:line="240" w:before="0" w:after="0"/>
        <w:ind w:firstLine="360"/>
        <w:jc w:val="center"/>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p>
      <w:pPr>
        <w:pStyle w:val="Normal"/>
        <w:spacing w:lineRule="auto" w:line="240" w:before="0" w:after="0"/>
        <w:ind w:firstLine="567"/>
        <w:rPr>
          <w:highlight w:val="none"/>
          <w:shd w:fill="auto" w:val="clear"/>
        </w:rPr>
      </w:pPr>
      <w:r>
        <w:rPr>
          <w:rFonts w:eastAsia="Times New Roman" w:cs="Times New Roman" w:ascii="Times New Roman" w:hAnsi="Times New Roman"/>
          <w:sz w:val="20"/>
          <w:szCs w:val="20"/>
          <w:shd w:fill="auto" w:val="clear"/>
          <w:lang w:eastAsia="ru-RU"/>
        </w:rPr>
        <w:t>где, Ц</w:t>
      </w:r>
      <w:r>
        <w:rPr>
          <w:rFonts w:eastAsia="Times New Roman" w:cs="Times New Roman" w:ascii="Times New Roman" w:hAnsi="Times New Roman"/>
          <w:sz w:val="16"/>
          <w:szCs w:val="16"/>
          <w:shd w:fill="auto" w:val="clear"/>
          <w:lang w:eastAsia="ru-RU"/>
        </w:rPr>
        <w:t>max</w:t>
      </w:r>
      <w:r>
        <w:rPr>
          <w:rFonts w:eastAsia="Times New Roman" w:cs="Times New Roman" w:ascii="Times New Roman" w:hAnsi="Times New Roman"/>
          <w:sz w:val="20"/>
          <w:szCs w:val="20"/>
          <w:shd w:fill="auto" w:val="clear"/>
          <w:lang w:eastAsia="ru-RU"/>
        </w:rPr>
        <w:t xml:space="preserve"> - максимальное предложение из предложений по критерию, сделанных участниками закупки.</w:t>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sz w:val="20"/>
          <w:szCs w:val="20"/>
          <w:shd w:fill="auto" w:val="clear"/>
          <w:lang w:eastAsia="ru-RU"/>
        </w:rPr>
        <w:t>Ц</w:t>
      </w:r>
      <w:r>
        <w:rPr>
          <w:rFonts w:eastAsia="Times New Roman" w:cs="Times New Roman" w:ascii="Times New Roman" w:hAnsi="Times New Roman"/>
          <w:sz w:val="20"/>
          <w:szCs w:val="20"/>
          <w:shd w:fill="auto" w:val="clear"/>
          <w:lang w:val="en-US" w:eastAsia="ru-RU"/>
        </w:rPr>
        <w:t>i</w:t>
      </w:r>
      <w:r>
        <w:rPr>
          <w:rFonts w:eastAsia="Times New Roman" w:cs="Times New Roman" w:ascii="Times New Roman" w:hAnsi="Times New Roman"/>
          <w:sz w:val="20"/>
          <w:szCs w:val="20"/>
          <w:shd w:fill="auto" w:val="clear"/>
          <w:lang w:eastAsia="ru-RU"/>
        </w:rPr>
        <w:t>- предложение участника закупки, заявка (предложение) которого оценивается;</w:t>
      </w:r>
    </w:p>
    <w:p>
      <w:pPr>
        <w:pStyle w:val="Normal"/>
        <w:spacing w:lineRule="auto" w:line="240" w:before="0" w:after="0"/>
        <w:ind w:firstLine="567"/>
        <w:jc w:val="both"/>
        <w:rPr>
          <w:highlight w:val="none"/>
          <w:shd w:fill="auto" w:val="clear"/>
        </w:rPr>
      </w:pPr>
      <w:r>
        <w:rPr>
          <w:rFonts w:eastAsia="Times New Roman" w:cs="Arial" w:ascii="Times New Roman" w:hAnsi="Times New Roman"/>
          <w:sz w:val="20"/>
          <w:szCs w:val="20"/>
          <w:shd w:fill="auto" w:val="clear"/>
          <w:lang w:eastAsia="ru-RU"/>
        </w:rPr>
        <w:t>ЦБ</w:t>
      </w:r>
      <w:r>
        <w:rPr>
          <w:rFonts w:eastAsia="Times New Roman" w:cs="Arial" w:ascii="Times New Roman" w:hAnsi="Times New Roman"/>
          <w:sz w:val="16"/>
          <w:szCs w:val="16"/>
          <w:shd w:fill="auto" w:val="clear"/>
          <w:lang w:val="en-US" w:eastAsia="ru-RU"/>
        </w:rPr>
        <w:t>i</w:t>
      </w:r>
      <w:r>
        <w:rPr>
          <w:rFonts w:eastAsia="Times New Roman" w:cs="Times New Roman" w:ascii="Times New Roman" w:hAnsi="Times New Roman"/>
          <w:sz w:val="20"/>
          <w:szCs w:val="20"/>
          <w:shd w:fill="auto" w:val="clear"/>
          <w:lang w:eastAsia="ru-RU"/>
        </w:rPr>
        <w:t xml:space="preserve"> - количество баллов, присуждаемых i-ой заявке по критерию «цена за единицу».</w:t>
      </w:r>
    </w:p>
    <w:p>
      <w:pPr>
        <w:pStyle w:val="Normal"/>
        <w:spacing w:lineRule="auto" w:line="240" w:before="0" w:after="0"/>
        <w:ind w:firstLine="360"/>
        <w:jc w:val="both"/>
        <w:rPr>
          <w:rFonts w:ascii="Times New Roman" w:hAnsi="Times New Roman" w:eastAsia="Times New Roman" w:cs="Times New Roman"/>
          <w:sz w:val="20"/>
          <w:szCs w:val="20"/>
          <w:highlight w:val="none"/>
          <w:shd w:fill="auto" w:val="clear"/>
          <w:lang w:eastAsia="ru-RU"/>
        </w:rPr>
      </w:pPr>
      <w:r>
        <w:rPr>
          <w:rFonts w:eastAsia="Times New Roman" w:cs="Times New Roman" w:ascii="Times New Roman" w:hAnsi="Times New Roman"/>
          <w:sz w:val="20"/>
          <w:szCs w:val="20"/>
          <w:shd w:fill="auto" w:val="clear"/>
          <w:lang w:eastAsia="ru-RU"/>
        </w:rPr>
      </w:r>
    </w:p>
    <w:p>
      <w:pPr>
        <w:pStyle w:val="Normal"/>
        <w:spacing w:lineRule="auto" w:line="240" w:before="0" w:after="0"/>
        <w:ind w:firstLine="567"/>
        <w:jc w:val="both"/>
        <w:rPr>
          <w:highlight w:val="none"/>
          <w:shd w:fill="auto" w:val="clear"/>
        </w:rPr>
      </w:pPr>
      <w:r>
        <w:rPr>
          <w:rFonts w:eastAsia="Times New Roman" w:cs="Times New Roman" w:ascii="Times New Roman" w:hAnsi="Times New Roman"/>
          <w:i/>
          <w:sz w:val="20"/>
          <w:szCs w:val="20"/>
          <w:shd w:fill="auto" w:val="clear"/>
          <w:lang w:eastAsia="ru-RU"/>
        </w:rPr>
        <w:t>Для окончательной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конкурентного отбора, по следующей формуле:</w:t>
      </w:r>
    </w:p>
    <w:p>
      <w:pPr>
        <w:pStyle w:val="Normal"/>
        <w:spacing w:lineRule="auto" w:line="240" w:before="0" w:after="0"/>
        <w:ind w:firstLine="360"/>
        <w:jc w:val="center"/>
        <w:rPr>
          <w:rFonts w:ascii="Times New Roman" w:hAnsi="Times New Roman" w:eastAsia="Times New Roman" w:cs="Times New Roman"/>
          <w:sz w:val="18"/>
          <w:szCs w:val="20"/>
          <w:highlight w:val="none"/>
          <w:shd w:fill="auto" w:val="clear"/>
          <w:lang w:eastAsia="ru-RU"/>
        </w:rPr>
      </w:pPr>
      <w:r>
        <w:rPr>
          <w:rFonts w:eastAsia="Times New Roman" w:cs="Times New Roman" w:ascii="Times New Roman" w:hAnsi="Times New Roman"/>
          <w:sz w:val="18"/>
          <w:szCs w:val="20"/>
          <w:shd w:fill="auto" w:val="clear"/>
          <w:lang w:eastAsia="ru-RU"/>
        </w:rPr>
      </w:r>
    </w:p>
    <w:p>
      <w:pPr>
        <w:pStyle w:val="Normal"/>
        <w:spacing w:lineRule="auto" w:line="240" w:before="0" w:after="0"/>
        <w:ind w:firstLine="360"/>
        <w:jc w:val="center"/>
        <w:rPr>
          <w:highlight w:val="none"/>
          <w:shd w:fill="auto" w:val="clear"/>
        </w:rPr>
      </w:pPr>
      <w:r>
        <w:rPr>
          <w:rFonts w:eastAsia="Times New Roman" w:cs="Times New Roman" w:ascii="Times New Roman" w:hAnsi="Times New Roman"/>
          <w:sz w:val="28"/>
          <w:szCs w:val="28"/>
          <w:shd w:fill="auto" w:val="clear"/>
          <w:lang w:val="en-US" w:eastAsia="ru-RU"/>
        </w:rPr>
        <w:t>Rca</w:t>
      </w:r>
      <w:r>
        <w:rPr>
          <w:rFonts w:eastAsia="Times New Roman" w:cs="Times New Roman" w:ascii="Times New Roman" w:hAnsi="Times New Roman"/>
          <w:sz w:val="20"/>
          <w:szCs w:val="20"/>
          <w:shd w:fill="auto" w:val="clear"/>
          <w:lang w:val="en-US" w:eastAsia="ru-RU"/>
        </w:rPr>
        <w:t xml:space="preserve">i </w:t>
      </w:r>
      <w:r>
        <w:rPr>
          <w:rFonts w:eastAsia="Times New Roman" w:cs="Times New Roman" w:ascii="Times New Roman" w:hAnsi="Times New Roman"/>
          <w:sz w:val="28"/>
          <w:szCs w:val="28"/>
          <w:shd w:fill="auto" w:val="clear"/>
          <w:lang w:val="en-US" w:eastAsia="ru-RU"/>
        </w:rPr>
        <w:t>= Rc</w:t>
      </w:r>
      <w:r>
        <w:rPr>
          <w:rFonts w:eastAsia="Times New Roman" w:cs="Times New Roman" w:ascii="Times New Roman" w:hAnsi="Times New Roman"/>
          <w:sz w:val="20"/>
          <w:szCs w:val="20"/>
          <w:shd w:fill="auto" w:val="clear"/>
          <w:lang w:val="en-US" w:eastAsia="ru-RU"/>
        </w:rPr>
        <w:t xml:space="preserve">i x </w:t>
      </w:r>
      <w:r>
        <w:rPr>
          <w:rFonts w:eastAsia="Times New Roman" w:cs="Times New Roman" w:ascii="Times New Roman" w:hAnsi="Times New Roman"/>
          <w:sz w:val="28"/>
          <w:szCs w:val="28"/>
          <w:shd w:fill="auto" w:val="clear"/>
          <w:lang w:val="en-US" w:eastAsia="ru-RU"/>
        </w:rPr>
        <w:t>Kc</w:t>
      </w:r>
      <w:r>
        <w:rPr>
          <w:rFonts w:eastAsia="Times New Roman" w:cs="Times New Roman" w:ascii="Times New Roman" w:hAnsi="Times New Roman"/>
          <w:sz w:val="20"/>
          <w:szCs w:val="20"/>
          <w:shd w:fill="auto" w:val="clear"/>
          <w:lang w:val="en-US" w:eastAsia="ru-RU"/>
        </w:rPr>
        <w:t>i</w:t>
      </w:r>
      <w:r>
        <w:rPr>
          <w:rFonts w:eastAsia="Times New Roman" w:cs="Times New Roman" w:ascii="Times New Roman" w:hAnsi="Times New Roman"/>
          <w:sz w:val="28"/>
          <w:szCs w:val="28"/>
          <w:shd w:fill="auto" w:val="clear"/>
          <w:lang w:val="en-US" w:eastAsia="ru-RU"/>
        </w:rPr>
        <w:t xml:space="preserve"> + </w:t>
      </w:r>
      <w:r>
        <w:rPr>
          <w:rFonts w:eastAsia="Times New Roman" w:cs="Arial" w:ascii="Times New Roman" w:hAnsi="Times New Roman"/>
          <w:sz w:val="28"/>
          <w:szCs w:val="28"/>
          <w:shd w:fill="auto" w:val="clear"/>
          <w:lang w:eastAsia="ru-RU"/>
        </w:rPr>
        <w:t>ЦБ</w:t>
      </w:r>
      <w:r>
        <w:rPr>
          <w:rFonts w:eastAsia="Times New Roman" w:cs="Arial" w:ascii="Times New Roman" w:hAnsi="Times New Roman"/>
          <w:sz w:val="20"/>
          <w:szCs w:val="20"/>
          <w:shd w:fill="auto" w:val="clear"/>
          <w:lang w:val="en-US" w:eastAsia="ru-RU"/>
        </w:rPr>
        <w:t xml:space="preserve">i x </w:t>
      </w:r>
      <w:r>
        <w:rPr>
          <w:rFonts w:eastAsia="Times New Roman" w:cs="Arial" w:ascii="Times New Roman" w:hAnsi="Times New Roman"/>
          <w:sz w:val="28"/>
          <w:szCs w:val="28"/>
          <w:shd w:fill="auto" w:val="clear"/>
          <w:lang w:val="en-US" w:eastAsia="ru-RU"/>
        </w:rPr>
        <w:t>Ka</w:t>
      </w:r>
      <w:r>
        <w:rPr>
          <w:rFonts w:eastAsia="Times New Roman" w:cs="Arial" w:ascii="Times New Roman" w:hAnsi="Times New Roman"/>
          <w:sz w:val="20"/>
          <w:szCs w:val="20"/>
          <w:shd w:fill="auto" w:val="clear"/>
          <w:lang w:val="en-US" w:eastAsia="ru-RU"/>
        </w:rPr>
        <w:t>i</w:t>
      </w:r>
    </w:p>
    <w:p>
      <w:pPr>
        <w:pStyle w:val="Normal"/>
        <w:widowControl w:val="false"/>
        <w:numPr>
          <w:ilvl w:val="0"/>
          <w:numId w:val="0"/>
        </w:numPr>
        <w:spacing w:lineRule="auto" w:line="240" w:before="0" w:after="0"/>
        <w:ind w:firstLine="567"/>
        <w:jc w:val="both"/>
        <w:outlineLvl w:val="0"/>
        <w:rPr>
          <w:highlight w:val="none"/>
          <w:shd w:fill="auto" w:val="clear"/>
        </w:rPr>
      </w:pPr>
      <w:r>
        <w:rPr>
          <w:rFonts w:eastAsia="Times New Roman" w:cs="Times New Roman" w:ascii="Times New Roman" w:hAnsi="Times New Roman"/>
          <w:b/>
          <w:bCs/>
          <w:sz w:val="18"/>
          <w:szCs w:val="20"/>
          <w:shd w:fill="auto" w:val="clear"/>
          <w:lang w:eastAsia="ru-RU"/>
        </w:rPr>
        <w:t>где:</w:t>
      </w:r>
    </w:p>
    <w:p>
      <w:pPr>
        <w:pStyle w:val="Normal"/>
        <w:widowControl w:val="false"/>
        <w:numPr>
          <w:ilvl w:val="0"/>
          <w:numId w:val="0"/>
        </w:numPr>
        <w:spacing w:lineRule="auto" w:line="240" w:before="0" w:after="0"/>
        <w:ind w:firstLine="567"/>
        <w:jc w:val="both"/>
        <w:outlineLvl w:val="0"/>
        <w:rPr>
          <w:rFonts w:ascii="Times New Roman" w:hAnsi="Times New Roman" w:eastAsia="Times New Roman" w:cs="Times New Roman"/>
          <w:b/>
          <w:bCs/>
          <w:sz w:val="18"/>
          <w:szCs w:val="20"/>
          <w:highlight w:val="none"/>
          <w:shd w:fill="auto" w:val="clear"/>
          <w:lang w:eastAsia="ru-RU"/>
        </w:rPr>
      </w:pPr>
      <w:r>
        <w:rPr>
          <w:rFonts w:eastAsia="Times New Roman" w:cs="Times New Roman" w:ascii="Times New Roman" w:hAnsi="Times New Roman"/>
          <w:b/>
          <w:bCs/>
          <w:sz w:val="18"/>
          <w:szCs w:val="20"/>
          <w:shd w:fill="auto" w:val="clear"/>
          <w:lang w:eastAsia="ru-RU"/>
        </w:rPr>
      </w:r>
    </w:p>
    <w:p>
      <w:pPr>
        <w:pStyle w:val="Normal"/>
        <w:widowControl w:val="false"/>
        <w:numPr>
          <w:ilvl w:val="0"/>
          <w:numId w:val="0"/>
        </w:numPr>
        <w:spacing w:lineRule="auto" w:line="240" w:before="0" w:after="0"/>
        <w:ind w:firstLine="567"/>
        <w:jc w:val="both"/>
        <w:outlineLvl w:val="0"/>
        <w:rPr>
          <w:highlight w:val="none"/>
          <w:shd w:fill="auto" w:val="clear"/>
        </w:rPr>
      </w:pPr>
      <w:r>
        <w:rPr>
          <w:rFonts w:eastAsia="Times New Roman" w:cs="Times New Roman" w:ascii="Times New Roman" w:hAnsi="Times New Roman"/>
          <w:b/>
          <w:bCs/>
          <w:sz w:val="24"/>
          <w:szCs w:val="24"/>
          <w:shd w:fill="auto" w:val="clear"/>
          <w:lang w:val="en-US" w:eastAsia="ru-RU"/>
        </w:rPr>
        <w:t>Rca</w:t>
      </w:r>
      <w:r>
        <w:rPr>
          <w:rFonts w:eastAsia="Times New Roman" w:cs="Times New Roman" w:ascii="Times New Roman" w:hAnsi="Times New Roman"/>
          <w:b/>
          <w:bCs/>
          <w:sz w:val="20"/>
          <w:szCs w:val="20"/>
          <w:shd w:fill="auto" w:val="clear"/>
          <w:lang w:val="en-US" w:eastAsia="ru-RU"/>
        </w:rPr>
        <w:t>i</w:t>
      </w:r>
      <w:r>
        <w:rPr>
          <w:rFonts w:eastAsia="Times New Roman" w:cs="Times New Roman" w:ascii="Times New Roman" w:hAnsi="Times New Roman"/>
          <w:b/>
          <w:bCs/>
          <w:sz w:val="18"/>
          <w:szCs w:val="20"/>
          <w:shd w:fill="auto" w:val="clear"/>
          <w:lang w:eastAsia="ru-RU"/>
        </w:rPr>
        <w:t xml:space="preserve"> - итоговый рейтинг, присуждаемый i-ой заявке;</w:t>
      </w:r>
    </w:p>
    <w:p>
      <w:pPr>
        <w:pStyle w:val="Normal"/>
        <w:widowControl w:val="false"/>
        <w:numPr>
          <w:ilvl w:val="0"/>
          <w:numId w:val="0"/>
        </w:numPr>
        <w:spacing w:lineRule="auto" w:line="240" w:before="0" w:after="0"/>
        <w:ind w:firstLine="567"/>
        <w:jc w:val="both"/>
        <w:outlineLvl w:val="0"/>
        <w:rPr>
          <w:rFonts w:ascii="Times New Roman" w:hAnsi="Times New Roman" w:eastAsia="Times New Roman" w:cs="Times New Roman"/>
          <w:b/>
          <w:bCs/>
          <w:sz w:val="18"/>
          <w:szCs w:val="20"/>
          <w:highlight w:val="none"/>
          <w:shd w:fill="auto" w:val="clear"/>
          <w:lang w:eastAsia="ru-RU"/>
        </w:rPr>
      </w:pPr>
      <w:r>
        <w:rPr>
          <w:rFonts w:eastAsia="Times New Roman" w:cs="Times New Roman" w:ascii="Times New Roman" w:hAnsi="Times New Roman"/>
          <w:b/>
          <w:bCs/>
          <w:sz w:val="18"/>
          <w:szCs w:val="20"/>
          <w:shd w:fill="auto" w:val="clear"/>
          <w:lang w:eastAsia="ru-RU"/>
        </w:rPr>
      </w:r>
    </w:p>
    <w:p>
      <w:pPr>
        <w:pStyle w:val="Normal"/>
        <w:widowControl w:val="false"/>
        <w:numPr>
          <w:ilvl w:val="0"/>
          <w:numId w:val="0"/>
        </w:numPr>
        <w:spacing w:lineRule="auto" w:line="240" w:before="0" w:after="0"/>
        <w:ind w:firstLine="567"/>
        <w:jc w:val="both"/>
        <w:outlineLvl w:val="0"/>
        <w:rPr>
          <w:highlight w:val="none"/>
          <w:shd w:fill="auto" w:val="clear"/>
        </w:rPr>
      </w:pPr>
      <w:r>
        <w:rPr>
          <w:rFonts w:eastAsia="Times New Roman" w:cs="Times New Roman" w:ascii="Times New Roman" w:hAnsi="Times New Roman"/>
          <w:b/>
          <w:kern w:val="2"/>
          <w:sz w:val="28"/>
          <w:szCs w:val="28"/>
          <w:shd w:fill="auto" w:val="clear"/>
          <w:lang w:val="en-US" w:eastAsia="ar-SA"/>
        </w:rPr>
        <w:t>Rc</w:t>
      </w:r>
      <w:r>
        <w:rPr>
          <w:rFonts w:eastAsia="Times New Roman" w:cs="Times New Roman" w:ascii="Times New Roman" w:hAnsi="Times New Roman"/>
          <w:b/>
          <w:kern w:val="2"/>
          <w:sz w:val="20"/>
          <w:szCs w:val="20"/>
          <w:shd w:fill="auto" w:val="clear"/>
          <w:lang w:val="en-US" w:eastAsia="ar-SA"/>
        </w:rPr>
        <w:t>i</w:t>
      </w:r>
      <w:r>
        <w:rPr>
          <w:rFonts w:eastAsia="Times New Roman" w:cs="Times New Roman" w:ascii="Times New Roman" w:hAnsi="Times New Roman"/>
          <w:b/>
          <w:kern w:val="2"/>
          <w:sz w:val="18"/>
          <w:szCs w:val="18"/>
          <w:shd w:fill="auto" w:val="clear"/>
          <w:lang w:eastAsia="ar-SA"/>
        </w:rPr>
        <w:t xml:space="preserve"> – количество баллов, присуждаемых </w:t>
      </w:r>
      <w:r>
        <w:rPr>
          <w:rFonts w:eastAsia="Times New Roman" w:cs="Times New Roman" w:ascii="Times New Roman" w:hAnsi="Times New Roman"/>
          <w:b/>
          <w:kern w:val="2"/>
          <w:sz w:val="18"/>
          <w:szCs w:val="18"/>
          <w:shd w:fill="auto" w:val="clear"/>
          <w:lang w:val="en-US" w:eastAsia="ar-SA"/>
        </w:rPr>
        <w:t>i</w:t>
      </w:r>
      <w:r>
        <w:rPr>
          <w:rFonts w:eastAsia="Times New Roman" w:cs="Times New Roman" w:ascii="Times New Roman" w:hAnsi="Times New Roman"/>
          <w:b/>
          <w:kern w:val="2"/>
          <w:sz w:val="18"/>
          <w:szCs w:val="18"/>
          <w:shd w:fill="auto" w:val="clear"/>
          <w:lang w:eastAsia="ar-SA"/>
        </w:rPr>
        <w:t>-й заявке по критерию «квалификации участника закупки»</w:t>
      </w:r>
      <w:r>
        <w:rPr>
          <w:rFonts w:eastAsia="Times New Roman" w:cs="Times New Roman" w:ascii="Times New Roman" w:hAnsi="Times New Roman"/>
          <w:b/>
          <w:bCs/>
          <w:sz w:val="18"/>
          <w:szCs w:val="20"/>
          <w:shd w:fill="auto" w:val="clear"/>
          <w:lang w:eastAsia="ru-RU"/>
        </w:rPr>
        <w:t>;</w:t>
      </w:r>
    </w:p>
    <w:p>
      <w:pPr>
        <w:pStyle w:val="Normal"/>
        <w:widowControl w:val="false"/>
        <w:numPr>
          <w:ilvl w:val="0"/>
          <w:numId w:val="0"/>
        </w:numPr>
        <w:spacing w:lineRule="auto" w:line="240" w:before="0" w:after="0"/>
        <w:ind w:firstLine="567"/>
        <w:jc w:val="both"/>
        <w:outlineLvl w:val="0"/>
        <w:rPr>
          <w:rFonts w:ascii="Times New Roman" w:hAnsi="Times New Roman" w:eastAsia="Times New Roman" w:cs="Times New Roman"/>
          <w:b/>
          <w:bCs/>
          <w:sz w:val="18"/>
          <w:szCs w:val="20"/>
          <w:highlight w:val="none"/>
          <w:shd w:fill="auto" w:val="clear"/>
          <w:lang w:eastAsia="ru-RU"/>
        </w:rPr>
      </w:pPr>
      <w:r>
        <w:rPr>
          <w:rFonts w:eastAsia="Times New Roman" w:cs="Times New Roman" w:ascii="Times New Roman" w:hAnsi="Times New Roman"/>
          <w:b/>
          <w:bCs/>
          <w:sz w:val="18"/>
          <w:szCs w:val="20"/>
          <w:shd w:fill="auto" w:val="clear"/>
          <w:lang w:eastAsia="ru-RU"/>
        </w:rPr>
      </w:r>
    </w:p>
    <w:p>
      <w:pPr>
        <w:pStyle w:val="Normal"/>
        <w:ind w:firstLine="567"/>
        <w:rPr>
          <w:highlight w:val="none"/>
          <w:shd w:fill="auto" w:val="clear"/>
        </w:rPr>
      </w:pPr>
      <w:r>
        <w:rPr>
          <w:rFonts w:eastAsia="Times New Roman" w:cs="Times New Roman" w:ascii="Times New Roman" w:hAnsi="Times New Roman"/>
          <w:kern w:val="2"/>
          <w:sz w:val="28"/>
          <w:szCs w:val="28"/>
          <w:shd w:fill="auto" w:val="clear"/>
          <w:lang w:val="en-US" w:eastAsia="ar-SA"/>
        </w:rPr>
        <w:t>Kc</w:t>
      </w:r>
      <w:r>
        <w:rPr>
          <w:rFonts w:eastAsia="Times New Roman" w:cs="Times New Roman" w:ascii="Times New Roman" w:hAnsi="Times New Roman"/>
          <w:kern w:val="2"/>
          <w:sz w:val="20"/>
          <w:szCs w:val="20"/>
          <w:shd w:fill="auto" w:val="clear"/>
          <w:lang w:val="en-US" w:eastAsia="ar-SA"/>
        </w:rPr>
        <w:t>i</w:t>
      </w:r>
      <w:r>
        <w:rPr>
          <w:rFonts w:eastAsia="Times New Roman" w:cs="Times New Roman" w:ascii="Times New Roman" w:hAnsi="Times New Roman"/>
          <w:kern w:val="2"/>
          <w:sz w:val="20"/>
          <w:szCs w:val="20"/>
          <w:shd w:fill="auto" w:val="clear"/>
          <w:lang w:eastAsia="ar-SA"/>
        </w:rPr>
        <w:t xml:space="preserve"> </w:t>
      </w:r>
      <w:r>
        <w:rPr>
          <w:rFonts w:eastAsia="Times New Roman" w:cs="Times New Roman" w:ascii="Times New Roman" w:hAnsi="Times New Roman"/>
          <w:kern w:val="2"/>
          <w:sz w:val="18"/>
          <w:szCs w:val="18"/>
          <w:shd w:fill="auto" w:val="clear"/>
          <w:lang w:eastAsia="ar-SA"/>
        </w:rPr>
        <w:t>- значимость критерия «квалификация участника закупки»;</w:t>
      </w:r>
    </w:p>
    <w:p>
      <w:pPr>
        <w:pStyle w:val="Normal"/>
        <w:widowControl w:val="false"/>
        <w:numPr>
          <w:ilvl w:val="0"/>
          <w:numId w:val="0"/>
        </w:numPr>
        <w:spacing w:lineRule="auto" w:line="240" w:before="0" w:after="0"/>
        <w:ind w:firstLine="567"/>
        <w:jc w:val="both"/>
        <w:outlineLvl w:val="0"/>
        <w:rPr>
          <w:highlight w:val="none"/>
          <w:shd w:fill="auto" w:val="clear"/>
        </w:rPr>
      </w:pPr>
      <w:r>
        <w:rPr>
          <w:rFonts w:eastAsia="Times New Roman" w:cs="Times New Roman" w:ascii="Times New Roman" w:hAnsi="Times New Roman"/>
          <w:b/>
          <w:bCs/>
          <w:sz w:val="24"/>
          <w:szCs w:val="24"/>
          <w:shd w:fill="auto" w:val="clear"/>
          <w:lang w:eastAsia="ru-RU"/>
        </w:rPr>
        <w:t>ЦБ</w:t>
      </w:r>
      <w:r>
        <w:rPr>
          <w:rFonts w:eastAsia="Times New Roman" w:cs="Times New Roman" w:ascii="Times New Roman" w:hAnsi="Times New Roman"/>
          <w:b/>
          <w:bCs/>
          <w:sz w:val="20"/>
          <w:szCs w:val="20"/>
          <w:shd w:fill="auto" w:val="clear"/>
          <w:lang w:eastAsia="ru-RU"/>
        </w:rPr>
        <w:t>i</w:t>
      </w:r>
      <w:r>
        <w:rPr>
          <w:rFonts w:eastAsia="Times New Roman" w:cs="Times New Roman" w:ascii="Times New Roman" w:hAnsi="Times New Roman"/>
          <w:b/>
          <w:bCs/>
          <w:sz w:val="18"/>
          <w:szCs w:val="20"/>
          <w:shd w:fill="auto" w:val="clear"/>
          <w:lang w:eastAsia="ru-RU"/>
        </w:rPr>
        <w:t xml:space="preserve"> - </w:t>
      </w:r>
      <w:r>
        <w:rPr>
          <w:rFonts w:eastAsia="Times New Roman" w:cs="Times New Roman" w:ascii="Times New Roman" w:hAnsi="Times New Roman"/>
          <w:b/>
          <w:bCs/>
          <w:kern w:val="2"/>
          <w:sz w:val="18"/>
          <w:szCs w:val="18"/>
          <w:shd w:fill="auto" w:val="clear"/>
          <w:lang w:eastAsia="ar-SA"/>
        </w:rPr>
        <w:t>количество баллов, присуждаемых i-ой заявке по критерию «цена за единицу»;</w:t>
      </w:r>
    </w:p>
    <w:p>
      <w:pPr>
        <w:pStyle w:val="Normal"/>
        <w:widowControl w:val="false"/>
        <w:spacing w:lineRule="auto" w:line="240" w:before="0" w:after="0"/>
        <w:ind w:firstLine="567"/>
        <w:jc w:val="both"/>
        <w:rPr>
          <w:rFonts w:ascii="Times New Roman" w:hAnsi="Times New Roman" w:eastAsia="Times New Roman" w:cs="Times New Roman"/>
          <w:kern w:val="2"/>
          <w:highlight w:val="none"/>
          <w:shd w:fill="auto" w:val="clear"/>
          <w:lang w:eastAsia="ar-SA"/>
        </w:rPr>
      </w:pPr>
      <w:r>
        <w:rPr>
          <w:rFonts w:eastAsia="Times New Roman" w:cs="Times New Roman" w:ascii="Times New Roman" w:hAnsi="Times New Roman"/>
          <w:kern w:val="2"/>
          <w:shd w:fill="auto" w:val="clear"/>
          <w:lang w:eastAsia="ar-SA"/>
        </w:rPr>
      </w:r>
    </w:p>
    <w:p>
      <w:pPr>
        <w:pStyle w:val="Normal"/>
        <w:ind w:firstLine="567"/>
        <w:rPr>
          <w:highlight w:val="none"/>
          <w:shd w:fill="auto" w:val="clear"/>
        </w:rPr>
      </w:pPr>
      <w:r>
        <w:rPr>
          <w:rFonts w:eastAsia="Times New Roman" w:cs="Times New Roman" w:ascii="Times New Roman" w:hAnsi="Times New Roman"/>
          <w:kern w:val="2"/>
          <w:sz w:val="28"/>
          <w:szCs w:val="28"/>
          <w:shd w:fill="auto" w:val="clear"/>
          <w:lang w:val="en-US" w:eastAsia="ar-SA"/>
        </w:rPr>
        <w:t>Ka</w:t>
      </w:r>
      <w:r>
        <w:rPr>
          <w:rFonts w:eastAsia="Times New Roman" w:cs="Times New Roman" w:ascii="Times New Roman" w:hAnsi="Times New Roman"/>
          <w:kern w:val="2"/>
          <w:sz w:val="20"/>
          <w:szCs w:val="20"/>
          <w:shd w:fill="auto" w:val="clear"/>
          <w:lang w:val="en-US" w:eastAsia="ar-SA"/>
        </w:rPr>
        <w:t>i</w:t>
      </w:r>
      <w:r>
        <w:rPr>
          <w:rFonts w:eastAsia="Times New Roman" w:cs="Times New Roman" w:ascii="Times New Roman" w:hAnsi="Times New Roman"/>
          <w:kern w:val="2"/>
          <w:sz w:val="20"/>
          <w:szCs w:val="20"/>
          <w:shd w:fill="auto" w:val="clear"/>
          <w:lang w:eastAsia="ar-SA"/>
        </w:rPr>
        <w:t xml:space="preserve"> </w:t>
      </w:r>
      <w:r>
        <w:rPr>
          <w:rFonts w:eastAsia="Times New Roman" w:cs="Times New Roman" w:ascii="Times New Roman" w:hAnsi="Times New Roman"/>
          <w:kern w:val="2"/>
          <w:sz w:val="18"/>
          <w:szCs w:val="18"/>
          <w:shd w:fill="auto" w:val="clear"/>
          <w:lang w:eastAsia="ar-SA"/>
        </w:rPr>
        <w:t>- значимость критерия «цена за единицу».</w:t>
      </w:r>
    </w:p>
    <w:p>
      <w:pPr>
        <w:pStyle w:val="Normal"/>
        <w:spacing w:lineRule="auto" w:line="240" w:before="0" w:after="0"/>
        <w:ind w:firstLine="540"/>
        <w:jc w:val="both"/>
        <w:rPr>
          <w:highlight w:val="none"/>
          <w:shd w:fill="auto" w:val="clear"/>
        </w:rPr>
      </w:pPr>
      <w:r>
        <w:rPr>
          <w:rFonts w:eastAsia="Times New Roman" w:cs="Times New Roman" w:ascii="Times New Roman" w:hAnsi="Times New Roman"/>
          <w:color w:val="000000"/>
          <w:shd w:fill="auto" w:val="clear"/>
        </w:rPr>
        <w:t>Победителем конкурентного отбора признается участник, набравший максимальное количество баллов и в предложении которого содержатся лучшие условия исполнения договора и присвоен первый номер.</w:t>
      </w:r>
    </w:p>
    <w:p>
      <w:pPr>
        <w:pStyle w:val="Normal"/>
        <w:spacing w:lineRule="auto" w:line="240" w:before="0" w:after="0"/>
        <w:ind w:firstLine="540"/>
        <w:jc w:val="both"/>
        <w:rPr>
          <w:highlight w:val="none"/>
          <w:shd w:fill="auto" w:val="clear"/>
        </w:rPr>
      </w:pPr>
      <w:r>
        <w:rPr>
          <w:rFonts w:eastAsia="Times New Roman" w:cs="Times New Roman" w:ascii="Times New Roman" w:hAnsi="Times New Roman"/>
          <w:color w:val="000000"/>
          <w:shd w:fill="auto" w:val="clear"/>
        </w:rPr>
        <w:t>В случае если в нескольких предложениях содержатся одинаковые условия исполнения договора, меньший порядковый номер присваивается предложению, которое поступило ранее других предложений на участие в конкурентном отборе, содержащих такие условия.</w:t>
      </w:r>
    </w:p>
    <w:p>
      <w:pPr>
        <w:pStyle w:val="Normal"/>
        <w:spacing w:lineRule="auto" w:line="240" w:before="0" w:after="0"/>
        <w:jc w:val="both"/>
        <w:rPr>
          <w:rFonts w:ascii="Times New Roman" w:hAnsi="Times New Roman" w:cs="Times New Roman"/>
          <w:b/>
          <w:bCs/>
          <w:highlight w:val="none"/>
          <w:shd w:fill="auto" w:val="clear"/>
        </w:rPr>
      </w:pPr>
      <w:r>
        <w:rPr>
          <w:rFonts w:cs="Times New Roman" w:ascii="Times New Roman" w:hAnsi="Times New Roman"/>
          <w:b/>
          <w:bCs/>
          <w:shd w:fill="auto" w:val="clear"/>
        </w:rPr>
      </w:r>
    </w:p>
    <w:p>
      <w:pPr>
        <w:pStyle w:val="Normal"/>
        <w:widowControl w:val="false"/>
        <w:spacing w:lineRule="auto" w:line="240" w:before="0" w:after="0"/>
        <w:ind w:firstLine="540"/>
        <w:jc w:val="both"/>
        <w:rPr>
          <w:highlight w:val="none"/>
          <w:shd w:fill="auto" w:val="clear"/>
        </w:rPr>
      </w:pPr>
      <w:r>
        <w:rPr>
          <w:rFonts w:cs="Times New Roman" w:ascii="Times New Roman" w:hAnsi="Times New Roman"/>
          <w:b/>
          <w:bCs/>
          <w:shd w:fill="auto" w:val="clear"/>
        </w:rPr>
        <w:t xml:space="preserve">Раздел </w:t>
      </w:r>
      <w:r>
        <w:rPr>
          <w:rFonts w:cs="Times New Roman" w:ascii="Times New Roman" w:hAnsi="Times New Roman"/>
          <w:b/>
          <w:bCs/>
          <w:shd w:fill="auto" w:val="clear"/>
          <w:lang w:val="en-US"/>
        </w:rPr>
        <w:t>IV</w:t>
      </w:r>
      <w:r>
        <w:rPr>
          <w:rFonts w:cs="Times New Roman" w:ascii="Times New Roman" w:hAnsi="Times New Roman"/>
          <w:b/>
          <w:bCs/>
          <w:shd w:fill="auto" w:val="clear"/>
        </w:rPr>
        <w:t>.</w:t>
      </w:r>
      <w:r>
        <w:rPr>
          <w:rFonts w:eastAsia="Times New Roman" w:cs="Times New Roman" w:ascii="Times New Roman" w:hAnsi="Times New Roman"/>
          <w:b/>
          <w:bCs/>
          <w:shd w:fill="auto" w:val="clear"/>
        </w:rPr>
        <w:t xml:space="preserve"> </w:t>
      </w:r>
      <w:r>
        <w:rPr>
          <w:rFonts w:eastAsia="Times New Roman" w:cs="Times New Roman" w:ascii="Times New Roman" w:hAnsi="Times New Roman"/>
          <w:b/>
          <w:color w:val="000000"/>
          <w:shd w:fill="auto" w:val="clear"/>
        </w:rPr>
        <w:t>Основания отклонений предложений на участие в конкурентном отборе.</w:t>
      </w:r>
    </w:p>
    <w:p>
      <w:pPr>
        <w:pStyle w:val="Normal"/>
        <w:widowControl w:val="false"/>
        <w:spacing w:lineRule="auto" w:line="240" w:before="0" w:after="0"/>
        <w:ind w:firstLine="540"/>
        <w:jc w:val="both"/>
        <w:rPr>
          <w:rFonts w:ascii="Times New Roman" w:hAnsi="Times New Roman" w:eastAsia="Times New Roman" w:cs="Times New Roman"/>
          <w:b/>
          <w:color w:val="000000"/>
          <w:highlight w:val="none"/>
          <w:shd w:fill="auto" w:val="clear"/>
        </w:rPr>
      </w:pPr>
      <w:r>
        <w:rPr>
          <w:rFonts w:eastAsia="Times New Roman" w:cs="Times New Roman" w:ascii="Times New Roman" w:hAnsi="Times New Roman"/>
          <w:b/>
          <w:color w:val="000000"/>
          <w:shd w:fill="auto" w:val="clear"/>
        </w:rPr>
      </w:r>
    </w:p>
    <w:p>
      <w:pPr>
        <w:pStyle w:val="Normal"/>
        <w:widowControl w:val="false"/>
        <w:spacing w:lineRule="auto" w:line="240" w:before="0" w:after="0"/>
        <w:ind w:firstLine="540"/>
        <w:jc w:val="both"/>
        <w:rPr>
          <w:highlight w:val="none"/>
          <w:shd w:fill="auto" w:val="clear"/>
        </w:rPr>
      </w:pPr>
      <w:r>
        <w:rPr>
          <w:rFonts w:eastAsia="Times New Roman" w:cs="Times New Roman" w:ascii="Times New Roman" w:hAnsi="Times New Roman"/>
          <w:color w:val="000000"/>
          <w:shd w:fill="auto" w:val="clear"/>
        </w:rPr>
        <w:t>1.Комиссия Уполномоченного органа рассматривает и отклоняет предложения участников конкурентного отбора в случаях, если:</w:t>
      </w:r>
    </w:p>
    <w:p>
      <w:pPr>
        <w:pStyle w:val="Normal"/>
        <w:widowControl w:val="false"/>
        <w:spacing w:lineRule="auto" w:line="240" w:before="0" w:after="0"/>
        <w:ind w:firstLine="540"/>
        <w:jc w:val="both"/>
        <w:rPr>
          <w:highlight w:val="none"/>
          <w:shd w:fill="auto" w:val="clear"/>
        </w:rPr>
      </w:pPr>
      <w:r>
        <w:rPr>
          <w:rFonts w:eastAsia="Times New Roman" w:cs="Times New Roman" w:ascii="Times New Roman" w:hAnsi="Times New Roman"/>
          <w:color w:val="000000"/>
          <w:shd w:fill="auto" w:val="clear"/>
        </w:rPr>
        <w:t>1) предложения участников не соответствуют требованиям, установленным в извещении о проведении конкурентного отбора и закупочной документации;</w:t>
      </w:r>
    </w:p>
    <w:p>
      <w:pPr>
        <w:pStyle w:val="Normal"/>
        <w:widowControl w:val="false"/>
        <w:spacing w:lineRule="auto" w:line="240" w:before="0" w:after="0"/>
        <w:ind w:firstLine="540"/>
        <w:jc w:val="both"/>
        <w:rPr>
          <w:highlight w:val="none"/>
          <w:shd w:fill="auto" w:val="clear"/>
        </w:rPr>
      </w:pPr>
      <w:r>
        <w:rPr>
          <w:rFonts w:eastAsia="Times New Roman" w:cs="Times New Roman" w:ascii="Times New Roman" w:hAnsi="Times New Roman"/>
          <w:color w:val="000000"/>
          <w:shd w:fill="auto" w:val="clear"/>
        </w:rPr>
        <w:t>2) в предложении участников не представлены требования, установленные в извещении о проведении конкурентного отбора и закупочной документации;</w:t>
      </w:r>
    </w:p>
    <w:p>
      <w:pPr>
        <w:pStyle w:val="Normal"/>
        <w:widowControl w:val="false"/>
        <w:spacing w:lineRule="auto" w:line="240" w:before="0" w:after="0"/>
        <w:ind w:firstLine="540"/>
        <w:jc w:val="both"/>
        <w:rPr>
          <w:highlight w:val="none"/>
          <w:shd w:fill="auto" w:val="clear"/>
        </w:rPr>
      </w:pPr>
      <w:r>
        <w:rPr>
          <w:rFonts w:eastAsia="Times New Roman" w:cs="Times New Roman" w:ascii="Times New Roman" w:hAnsi="Times New Roman"/>
          <w:color w:val="000000"/>
          <w:shd w:fill="auto" w:val="clear"/>
        </w:rPr>
        <w:t>3) предложенная цена товаров, работ, услуг превышает начальную (максимальную) цену, указанную в извещении о проведении конкурентного отбора.</w:t>
      </w:r>
    </w:p>
    <w:p>
      <w:pPr>
        <w:pStyle w:val="Normal"/>
        <w:widowControl w:val="false"/>
        <w:spacing w:lineRule="auto" w:line="240" w:before="0" w:after="0"/>
        <w:ind w:firstLine="540"/>
        <w:jc w:val="both"/>
        <w:rPr>
          <w:highlight w:val="none"/>
          <w:shd w:fill="auto" w:val="clear"/>
        </w:rPr>
      </w:pPr>
      <w:r>
        <w:rPr>
          <w:rFonts w:eastAsia="Times New Roman" w:cs="Times New Roman" w:ascii="Times New Roman" w:hAnsi="Times New Roman"/>
          <w:color w:val="000000"/>
          <w:shd w:fill="auto" w:val="clear"/>
        </w:rPr>
        <w:t>Предложения, поданные после окончания срока подачи предложений, указанного в извещении о проведении конкурентного отбора, не принимаются.</w:t>
      </w:r>
    </w:p>
    <w:p>
      <w:pPr>
        <w:pStyle w:val="Normal"/>
        <w:widowControl w:val="false"/>
        <w:spacing w:lineRule="auto" w:line="240" w:before="0" w:after="0"/>
        <w:ind w:firstLine="540"/>
        <w:jc w:val="both"/>
        <w:rPr>
          <w:highlight w:val="none"/>
          <w:shd w:fill="auto" w:val="clear"/>
        </w:rPr>
      </w:pPr>
      <w:r>
        <w:rPr>
          <w:rFonts w:eastAsia="Times New Roman" w:cs="Times New Roman" w:ascii="Times New Roman" w:hAnsi="Times New Roman"/>
          <w:color w:val="000000"/>
          <w:shd w:fill="auto" w:val="clear"/>
        </w:rPr>
        <w:t>В случае подачи одним участником двух и более предложений на участие в конкурентном отборе такие предложения не рассматриваются и возвращаются участнику конкурентного отбора.</w:t>
      </w:r>
    </w:p>
    <w:p>
      <w:pPr>
        <w:pStyle w:val="Normal"/>
        <w:widowControl w:val="false"/>
        <w:spacing w:lineRule="auto" w:line="240" w:before="0" w:after="0"/>
        <w:ind w:firstLine="540"/>
        <w:jc w:val="both"/>
        <w:rPr>
          <w:highlight w:val="none"/>
          <w:shd w:fill="auto" w:val="clear"/>
        </w:rPr>
      </w:pPr>
      <w:r>
        <w:rPr>
          <w:rFonts w:eastAsia="Times New Roman" w:cs="Times New Roman" w:ascii="Times New Roman" w:hAnsi="Times New Roman"/>
          <w:color w:val="000000"/>
          <w:shd w:fill="auto" w:val="clear"/>
        </w:rPr>
        <w:t xml:space="preserve">В случае установления недостоверности информации, содержащейся в документах, представленных участником конкурентного отбора в соответствии с разделом </w:t>
      </w:r>
      <w:r>
        <w:rPr>
          <w:rFonts w:eastAsia="Times New Roman" w:cs="Times New Roman" w:ascii="Times New Roman" w:hAnsi="Times New Roman"/>
          <w:color w:val="000000"/>
          <w:shd w:fill="auto" w:val="clear"/>
          <w:lang w:val="en-US"/>
        </w:rPr>
        <w:t>II</w:t>
      </w:r>
      <w:r>
        <w:rPr>
          <w:rFonts w:eastAsia="Times New Roman" w:cs="Times New Roman" w:ascii="Times New Roman" w:hAnsi="Times New Roman"/>
          <w:color w:val="000000"/>
          <w:shd w:fill="auto" w:val="clear"/>
        </w:rPr>
        <w:t>, комиссия обязана отклонить такого участника от участия в конкурентном отборе на любом этапе его проведения.</w:t>
      </w:r>
    </w:p>
    <w:p>
      <w:pPr>
        <w:pStyle w:val="Normal"/>
        <w:spacing w:lineRule="auto" w:line="240" w:before="0" w:after="0"/>
        <w:ind w:firstLine="567"/>
        <w:contextualSpacing/>
        <w:rPr>
          <w:rFonts w:ascii="Times New Roman" w:hAnsi="Times New Roman" w:eastAsia="Times New Roman" w:cs="Times New Roman"/>
          <w:b/>
          <w:color w:val="000000"/>
          <w:highlight w:val="none"/>
          <w:shd w:fill="auto" w:val="clear"/>
        </w:rPr>
      </w:pPr>
      <w:r>
        <w:rPr>
          <w:rFonts w:eastAsia="Times New Roman" w:cs="Times New Roman" w:ascii="Times New Roman" w:hAnsi="Times New Roman"/>
          <w:b/>
          <w:color w:val="000000"/>
          <w:shd w:fill="auto" w:val="clear"/>
        </w:rPr>
      </w:r>
    </w:p>
    <w:p>
      <w:pPr>
        <w:pStyle w:val="Normal"/>
        <w:spacing w:lineRule="auto" w:line="240" w:before="0" w:after="0"/>
        <w:ind w:firstLine="567"/>
        <w:contextualSpacing/>
        <w:jc w:val="both"/>
        <w:rPr>
          <w:highlight w:val="none"/>
          <w:shd w:fill="auto" w:val="clear"/>
        </w:rPr>
      </w:pPr>
      <w:r>
        <w:rPr>
          <w:rFonts w:eastAsia="Times New Roman" w:cs="Times New Roman" w:ascii="Times New Roman" w:hAnsi="Times New Roman"/>
          <w:b/>
          <w:color w:val="000000"/>
          <w:shd w:fill="auto" w:val="clear"/>
        </w:rPr>
        <w:t>Раздел V.</w:t>
      </w:r>
      <w:r>
        <w:rPr>
          <w:rFonts w:eastAsia="Times New Roman" w:cs="Times New Roman" w:ascii="Times New Roman" w:hAnsi="Times New Roman"/>
          <w:color w:val="000000"/>
          <w:shd w:fill="auto" w:val="clear"/>
        </w:rPr>
        <w:t xml:space="preserve"> </w:t>
      </w:r>
      <w:r>
        <w:rPr>
          <w:rFonts w:eastAsia="Times New Roman" w:cs="Times New Roman" w:ascii="Times New Roman" w:hAnsi="Times New Roman"/>
          <w:b/>
          <w:color w:val="000000"/>
          <w:shd w:fill="auto" w:val="clear"/>
        </w:rPr>
        <w:t>Порядок формирования цены за единицу (с учетом или без учета расходов на перевозку, страхование, уплату таможенных пошлин, налогов и других обязательных платежей)</w:t>
      </w:r>
    </w:p>
    <w:p>
      <w:pPr>
        <w:pStyle w:val="Normal"/>
        <w:spacing w:lineRule="auto" w:line="240" w:before="0" w:after="0"/>
        <w:ind w:firstLine="567"/>
        <w:contextualSpacing/>
        <w:jc w:val="both"/>
        <w:rPr>
          <w:rFonts w:ascii="Times New Roman" w:hAnsi="Times New Roman" w:eastAsia="Times New Roman" w:cs="Times New Roman"/>
          <w:color w:val="000000"/>
          <w:highlight w:val="none"/>
          <w:shd w:fill="auto" w:val="clear"/>
        </w:rPr>
      </w:pPr>
      <w:r>
        <w:rPr>
          <w:rFonts w:eastAsia="Times New Roman" w:cs="Times New Roman" w:ascii="Times New Roman" w:hAnsi="Times New Roman"/>
          <w:color w:val="000000"/>
          <w:shd w:fill="auto" w:val="clear"/>
        </w:rPr>
        <w:t>Цена договора формируется на основании анализа полученных коммерческих предложений. Включает все расходы Исполнителя входят в общую стоимость услуг, налоги, пошлины, комиссионные сборы и другие начисления, подлежащие выплате в соответствии с законодательством РФ.</w:t>
      </w:r>
    </w:p>
    <w:p>
      <w:pPr>
        <w:pStyle w:val="Normal"/>
        <w:spacing w:lineRule="auto" w:line="240" w:before="0" w:after="0"/>
        <w:ind w:firstLine="567"/>
        <w:contextualSpacing/>
        <w:jc w:val="both"/>
        <w:rPr>
          <w:highlight w:val="none"/>
          <w:shd w:fill="auto" w:val="clear"/>
        </w:rPr>
      </w:pPr>
      <w:r>
        <w:rPr>
          <w:shd w:fill="auto" w:val="clear"/>
        </w:rPr>
      </w:r>
    </w:p>
    <w:tbl>
      <w:tblPr>
        <w:tblW w:w="10941"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2108"/>
        <w:gridCol w:w="1013"/>
        <w:gridCol w:w="1194"/>
        <w:gridCol w:w="985"/>
        <w:gridCol w:w="1034"/>
        <w:gridCol w:w="1612"/>
        <w:gridCol w:w="1525"/>
        <w:gridCol w:w="1470"/>
      </w:tblGrid>
      <w:tr>
        <w:trPr>
          <w:trHeight w:val="1140" w:hRule="atLeast"/>
        </w:trPr>
        <w:tc>
          <w:tcPr>
            <w:tcW w:w="21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highlight w:val="none"/>
                <w:shd w:fill="auto" w:val="clear"/>
              </w:rPr>
            </w:pPr>
            <w:r>
              <w:rPr>
                <w:rFonts w:ascii="Times New Roman" w:hAnsi="Times New Roman"/>
                <w:b/>
                <w:sz w:val="16"/>
                <w:szCs w:val="16"/>
                <w:shd w:fill="auto" w:val="clear"/>
              </w:rPr>
              <w:t>Наименование товара</w:t>
            </w:r>
          </w:p>
        </w:tc>
        <w:tc>
          <w:tcPr>
            <w:tcW w:w="1013"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highlight w:val="none"/>
                <w:shd w:fill="auto" w:val="clear"/>
              </w:rPr>
            </w:pPr>
            <w:r>
              <w:rPr>
                <w:rFonts w:ascii="Times New Roman" w:hAnsi="Times New Roman"/>
                <w:b/>
                <w:sz w:val="16"/>
                <w:szCs w:val="16"/>
                <w:shd w:fill="auto" w:val="clear"/>
              </w:rPr>
              <w:t>Ед. изм.</w:t>
            </w:r>
          </w:p>
        </w:tc>
        <w:tc>
          <w:tcPr>
            <w:tcW w:w="11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b/>
                <w:color w:val="000000"/>
                <w:sz w:val="16"/>
                <w:szCs w:val="16"/>
                <w:shd w:fill="auto" w:val="clear"/>
              </w:rPr>
              <w:t>КП №1, руб., в т.ч. НДС 5%</w:t>
            </w:r>
          </w:p>
        </w:tc>
        <w:tc>
          <w:tcPr>
            <w:tcW w:w="9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b/>
                <w:color w:val="000000"/>
                <w:sz w:val="16"/>
                <w:szCs w:val="16"/>
                <w:shd w:fill="auto" w:val="clear"/>
              </w:rPr>
              <w:t>КП №2, руб., в т.ч. НДС 5%</w:t>
            </w:r>
          </w:p>
        </w:tc>
        <w:tc>
          <w:tcPr>
            <w:tcW w:w="10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b/>
                <w:color w:val="000000"/>
                <w:sz w:val="16"/>
                <w:szCs w:val="16"/>
                <w:shd w:fill="auto" w:val="clear"/>
              </w:rPr>
              <w:t>КП №3, руб., в т.ч. НДС 5%</w:t>
            </w:r>
          </w:p>
        </w:tc>
        <w:tc>
          <w:tcPr>
            <w:tcW w:w="16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b/>
                <w:color w:val="000000"/>
                <w:sz w:val="16"/>
                <w:szCs w:val="16"/>
                <w:shd w:fill="auto" w:val="clear"/>
              </w:rPr>
              <w:t>Начальная (максимальная) цена за единицу, руб., в т.ч. НДС</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b/>
                <w:color w:val="000000"/>
                <w:sz w:val="16"/>
                <w:szCs w:val="16"/>
                <w:shd w:fill="auto" w:val="clear"/>
              </w:rPr>
              <w:t>Лимит финансирования, руб.</w:t>
            </w:r>
          </w:p>
        </w:tc>
        <w:tc>
          <w:tcPr>
            <w:tcW w:w="147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b/>
                <w:color w:val="000000"/>
                <w:sz w:val="16"/>
                <w:szCs w:val="16"/>
                <w:shd w:fill="auto" w:val="clear"/>
              </w:rPr>
              <w:t>Примечание</w:t>
            </w:r>
          </w:p>
        </w:tc>
      </w:tr>
      <w:tr>
        <w:trPr>
          <w:trHeight w:val="105" w:hRule="atLeast"/>
        </w:trPr>
        <w:tc>
          <w:tcPr>
            <w:tcW w:w="2108" w:type="dxa"/>
            <w:tcBorders>
              <w:left w:val="single" w:sz="4" w:space="0" w:color="000000"/>
              <w:bottom w:val="single" w:sz="4" w:space="0" w:color="000000"/>
              <w:right w:val="single" w:sz="4" w:space="0" w:color="000000"/>
            </w:tcBorders>
            <w:shd w:color="auto" w:fill="auto" w:val="clear"/>
          </w:tcPr>
          <w:p>
            <w:pPr>
              <w:pStyle w:val="Style11"/>
              <w:spacing w:lineRule="auto" w:line="240" w:before="0" w:after="0"/>
              <w:jc w:val="left"/>
              <w:rPr>
                <w:rFonts w:ascii="Times New Roman" w:hAnsi="Times New Roman"/>
                <w:sz w:val="16"/>
                <w:szCs w:val="16"/>
                <w:highlight w:val="none"/>
                <w:shd w:fill="auto" w:val="clear"/>
              </w:rPr>
            </w:pPr>
            <w:r>
              <w:rPr>
                <w:rFonts w:ascii="Times New Roman" w:hAnsi="Times New Roman"/>
                <w:sz w:val="16"/>
                <w:szCs w:val="16"/>
                <w:shd w:fill="auto" w:val="clear"/>
              </w:rPr>
              <w:t>Услуги фотосъемки</w:t>
            </w:r>
          </w:p>
        </w:tc>
        <w:tc>
          <w:tcPr>
            <w:tcW w:w="1013" w:type="dxa"/>
            <w:tcBorders>
              <w:bottom w:val="single" w:sz="4" w:space="0" w:color="000000"/>
              <w:right w:val="single" w:sz="4" w:space="0" w:color="000000"/>
            </w:tcBorders>
            <w:shd w:color="auto" w:fill="auto" w:val="clear"/>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221</w:t>
            </w:r>
          </w:p>
        </w:tc>
        <w:tc>
          <w:tcPr>
            <w:tcW w:w="1194"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30 000,00   </w:t>
            </w:r>
          </w:p>
        </w:tc>
        <w:tc>
          <w:tcPr>
            <w:tcW w:w="985"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27 500,00   </w:t>
            </w:r>
          </w:p>
        </w:tc>
        <w:tc>
          <w:tcPr>
            <w:tcW w:w="1034"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28 000,00   </w:t>
            </w:r>
          </w:p>
        </w:tc>
        <w:tc>
          <w:tcPr>
            <w:tcW w:w="1612" w:type="dxa"/>
            <w:tcBorders>
              <w:left w:val="single" w:sz="4" w:space="0" w:color="000000"/>
              <w:bottom w:val="single" w:sz="4" w:space="0" w:color="000000"/>
              <w:right w:val="single" w:sz="4" w:space="0" w:color="000000"/>
            </w:tcBorders>
            <w:shd w:color="auto" w:fill="auto" w:val="clear"/>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27 500,00   </w:t>
            </w:r>
          </w:p>
        </w:tc>
        <w:tc>
          <w:tcPr>
            <w:tcW w:w="1525"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6 077 500,00   </w:t>
            </w:r>
          </w:p>
        </w:tc>
        <w:tc>
          <w:tcPr>
            <w:tcW w:w="1470" w:type="dxa"/>
            <w:vMerge w:val="restart"/>
            <w:tcBorders>
              <w:left w:val="single" w:sz="4" w:space="0" w:color="000000"/>
              <w:bottom w:val="single" w:sz="4" w:space="0" w:color="000000"/>
              <w:right w:val="single" w:sz="4" w:space="0" w:color="000000"/>
            </w:tcBorders>
            <w:vAlign w:val="center"/>
          </w:tcPr>
          <w:p>
            <w:pPr>
              <w:pStyle w:val="Style11"/>
              <w:spacing w:before="0" w:after="200"/>
              <w:jc w:val="center"/>
              <w:rPr>
                <w:rFonts w:ascii="Times New Roman" w:hAnsi="Times New Roman"/>
                <w:sz w:val="16"/>
                <w:szCs w:val="16"/>
                <w:highlight w:val="none"/>
                <w:shd w:fill="auto" w:val="clear"/>
              </w:rPr>
            </w:pPr>
            <w:r>
              <w:rPr>
                <w:rFonts w:ascii="Times New Roman" w:hAnsi="Times New Roman"/>
                <w:sz w:val="16"/>
                <w:szCs w:val="16"/>
                <w:shd w:fill="auto" w:val="clear"/>
              </w:rPr>
              <w:t>Расчет произведен на основании минимальных цен коммерческих предложений</w:t>
            </w:r>
          </w:p>
        </w:tc>
      </w:tr>
      <w:tr>
        <w:trPr>
          <w:trHeight w:val="136" w:hRule="atLeast"/>
        </w:trPr>
        <w:tc>
          <w:tcPr>
            <w:tcW w:w="2108" w:type="dxa"/>
            <w:tcBorders>
              <w:left w:val="single" w:sz="4" w:space="0" w:color="000000"/>
              <w:bottom w:val="single" w:sz="4" w:space="0" w:color="000000"/>
              <w:right w:val="single" w:sz="4" w:space="0" w:color="000000"/>
            </w:tcBorders>
            <w:shd w:color="auto" w:fill="auto" w:val="clear"/>
          </w:tcPr>
          <w:p>
            <w:pPr>
              <w:pStyle w:val="Style11"/>
              <w:spacing w:lineRule="auto" w:line="240" w:before="0" w:after="0"/>
              <w:jc w:val="left"/>
              <w:rPr>
                <w:rFonts w:ascii="Times New Roman" w:hAnsi="Times New Roman"/>
                <w:sz w:val="16"/>
                <w:szCs w:val="16"/>
                <w:highlight w:val="none"/>
                <w:shd w:fill="auto" w:val="clear"/>
              </w:rPr>
            </w:pPr>
            <w:r>
              <w:rPr>
                <w:rFonts w:ascii="Times New Roman" w:hAnsi="Times New Roman"/>
                <w:sz w:val="16"/>
                <w:szCs w:val="16"/>
                <w:shd w:fill="auto" w:val="clear"/>
              </w:rPr>
              <w:t>Услуги видеосъемки (по часам)</w:t>
            </w:r>
          </w:p>
        </w:tc>
        <w:tc>
          <w:tcPr>
            <w:tcW w:w="1013" w:type="dxa"/>
            <w:tcBorders>
              <w:bottom w:val="single" w:sz="4" w:space="0" w:color="000000"/>
              <w:right w:val="single" w:sz="4" w:space="0" w:color="000000"/>
            </w:tcBorders>
            <w:shd w:color="auto" w:fill="auto" w:val="clear"/>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10</w:t>
            </w:r>
          </w:p>
        </w:tc>
        <w:tc>
          <w:tcPr>
            <w:tcW w:w="1194"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5 000,00   </w:t>
            </w:r>
          </w:p>
        </w:tc>
        <w:tc>
          <w:tcPr>
            <w:tcW w:w="985"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6 000,00   </w:t>
            </w:r>
          </w:p>
        </w:tc>
        <w:tc>
          <w:tcPr>
            <w:tcW w:w="1034"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5 000,00   </w:t>
            </w:r>
          </w:p>
        </w:tc>
        <w:tc>
          <w:tcPr>
            <w:tcW w:w="1612" w:type="dxa"/>
            <w:tcBorders>
              <w:left w:val="single" w:sz="4" w:space="0" w:color="000000"/>
              <w:bottom w:val="single" w:sz="4" w:space="0" w:color="000000"/>
              <w:right w:val="single" w:sz="4" w:space="0" w:color="000000"/>
            </w:tcBorders>
            <w:shd w:color="auto" w:fill="auto" w:val="clear"/>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5 000,00   </w:t>
            </w:r>
          </w:p>
        </w:tc>
        <w:tc>
          <w:tcPr>
            <w:tcW w:w="1525"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50 000,00   </w:t>
            </w:r>
          </w:p>
        </w:tc>
        <w:tc>
          <w:tcPr>
            <w:tcW w:w="1470"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16"/>
                <w:szCs w:val="16"/>
                <w:highlight w:val="none"/>
                <w:shd w:fill="auto" w:val="clear"/>
              </w:rPr>
            </w:pPr>
            <w:r>
              <w:rPr>
                <w:sz w:val="16"/>
                <w:szCs w:val="16"/>
                <w:shd w:fill="auto" w:val="clear"/>
              </w:rPr>
            </w:r>
          </w:p>
        </w:tc>
      </w:tr>
      <w:tr>
        <w:trPr>
          <w:trHeight w:val="373" w:hRule="atLeast"/>
        </w:trPr>
        <w:tc>
          <w:tcPr>
            <w:tcW w:w="2108" w:type="dxa"/>
            <w:tcBorders>
              <w:left w:val="single" w:sz="4" w:space="0" w:color="000000"/>
              <w:bottom w:val="single" w:sz="4" w:space="0" w:color="000000"/>
              <w:right w:val="single" w:sz="4" w:space="0" w:color="000000"/>
            </w:tcBorders>
            <w:shd w:color="auto" w:fill="auto" w:val="clear"/>
          </w:tcPr>
          <w:p>
            <w:pPr>
              <w:pStyle w:val="Style11"/>
              <w:spacing w:lineRule="auto" w:line="240" w:before="0" w:after="0"/>
              <w:jc w:val="left"/>
              <w:rPr>
                <w:rFonts w:ascii="Times New Roman" w:hAnsi="Times New Roman"/>
                <w:sz w:val="16"/>
                <w:szCs w:val="16"/>
                <w:highlight w:val="none"/>
                <w:shd w:fill="auto" w:val="clear"/>
              </w:rPr>
            </w:pPr>
            <w:r>
              <w:rPr>
                <w:rFonts w:ascii="Times New Roman" w:hAnsi="Times New Roman"/>
                <w:sz w:val="16"/>
                <w:szCs w:val="16"/>
                <w:shd w:fill="auto" w:val="clear"/>
              </w:rPr>
              <w:t>Услуги видеосъёмки (смена)</w:t>
            </w:r>
          </w:p>
        </w:tc>
        <w:tc>
          <w:tcPr>
            <w:tcW w:w="1013" w:type="dxa"/>
            <w:tcBorders>
              <w:bottom w:val="single" w:sz="4" w:space="0" w:color="000000"/>
              <w:right w:val="single" w:sz="4" w:space="0" w:color="000000"/>
            </w:tcBorders>
            <w:shd w:color="auto" w:fill="auto" w:val="clear"/>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190</w:t>
            </w:r>
          </w:p>
        </w:tc>
        <w:tc>
          <w:tcPr>
            <w:tcW w:w="1194"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30 000,00   </w:t>
            </w:r>
          </w:p>
        </w:tc>
        <w:tc>
          <w:tcPr>
            <w:tcW w:w="985"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30 000,00   </w:t>
            </w:r>
          </w:p>
        </w:tc>
        <w:tc>
          <w:tcPr>
            <w:tcW w:w="1034"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28 000,00   </w:t>
            </w:r>
          </w:p>
        </w:tc>
        <w:tc>
          <w:tcPr>
            <w:tcW w:w="1612" w:type="dxa"/>
            <w:tcBorders>
              <w:left w:val="single" w:sz="4" w:space="0" w:color="000000"/>
              <w:bottom w:val="single" w:sz="4" w:space="0" w:color="000000"/>
              <w:right w:val="single" w:sz="4" w:space="0" w:color="000000"/>
            </w:tcBorders>
            <w:shd w:color="auto" w:fill="auto" w:val="clear"/>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28 000,00   </w:t>
            </w:r>
          </w:p>
        </w:tc>
        <w:tc>
          <w:tcPr>
            <w:tcW w:w="1525"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5 320 000,00   </w:t>
            </w:r>
          </w:p>
        </w:tc>
        <w:tc>
          <w:tcPr>
            <w:tcW w:w="1470"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16"/>
                <w:szCs w:val="16"/>
                <w:highlight w:val="none"/>
                <w:shd w:fill="auto" w:val="clear"/>
              </w:rPr>
            </w:pPr>
            <w:r>
              <w:rPr>
                <w:sz w:val="16"/>
                <w:szCs w:val="16"/>
                <w:shd w:fill="auto" w:val="clear"/>
              </w:rPr>
            </w:r>
          </w:p>
        </w:tc>
      </w:tr>
      <w:tr>
        <w:trPr>
          <w:trHeight w:val="460" w:hRule="atLeast"/>
        </w:trPr>
        <w:tc>
          <w:tcPr>
            <w:tcW w:w="2108" w:type="dxa"/>
            <w:tcBorders>
              <w:left w:val="single" w:sz="4" w:space="0" w:color="000000"/>
              <w:bottom w:val="single" w:sz="4" w:space="0" w:color="000000"/>
              <w:right w:val="single" w:sz="4" w:space="0" w:color="000000"/>
            </w:tcBorders>
            <w:shd w:color="auto" w:fill="auto" w:val="clear"/>
          </w:tcPr>
          <w:p>
            <w:pPr>
              <w:pStyle w:val="Style11"/>
              <w:spacing w:lineRule="auto" w:line="240" w:before="0" w:after="0"/>
              <w:jc w:val="left"/>
              <w:rPr>
                <w:rFonts w:ascii="Times New Roman" w:hAnsi="Times New Roman"/>
                <w:sz w:val="16"/>
                <w:szCs w:val="16"/>
                <w:highlight w:val="none"/>
                <w:shd w:fill="auto" w:val="clear"/>
              </w:rPr>
            </w:pPr>
            <w:r>
              <w:rPr>
                <w:rFonts w:ascii="Times New Roman" w:hAnsi="Times New Roman"/>
                <w:sz w:val="16"/>
                <w:szCs w:val="16"/>
                <w:shd w:fill="auto" w:val="clear"/>
              </w:rPr>
              <w:t>Услуга по обработке фотографий</w:t>
            </w:r>
          </w:p>
        </w:tc>
        <w:tc>
          <w:tcPr>
            <w:tcW w:w="1013" w:type="dxa"/>
            <w:tcBorders>
              <w:bottom w:val="single" w:sz="4" w:space="0" w:color="000000"/>
              <w:right w:val="single" w:sz="4" w:space="0" w:color="000000"/>
            </w:tcBorders>
            <w:shd w:color="auto" w:fill="auto" w:val="clear"/>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25</w:t>
            </w:r>
          </w:p>
        </w:tc>
        <w:tc>
          <w:tcPr>
            <w:tcW w:w="1194"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10 000,00   </w:t>
            </w:r>
          </w:p>
        </w:tc>
        <w:tc>
          <w:tcPr>
            <w:tcW w:w="985"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10 000,00   </w:t>
            </w:r>
          </w:p>
        </w:tc>
        <w:tc>
          <w:tcPr>
            <w:tcW w:w="1034"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8 000,00   </w:t>
            </w:r>
          </w:p>
        </w:tc>
        <w:tc>
          <w:tcPr>
            <w:tcW w:w="1612" w:type="dxa"/>
            <w:tcBorders>
              <w:left w:val="single" w:sz="4" w:space="0" w:color="000000"/>
              <w:bottom w:val="single" w:sz="4" w:space="0" w:color="000000"/>
              <w:right w:val="single" w:sz="4" w:space="0" w:color="000000"/>
            </w:tcBorders>
            <w:shd w:color="auto" w:fill="auto" w:val="clear"/>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8 000,00   </w:t>
            </w:r>
          </w:p>
        </w:tc>
        <w:tc>
          <w:tcPr>
            <w:tcW w:w="1525"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200 000,00   </w:t>
            </w:r>
          </w:p>
        </w:tc>
        <w:tc>
          <w:tcPr>
            <w:tcW w:w="1470"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16"/>
                <w:szCs w:val="16"/>
                <w:highlight w:val="none"/>
                <w:shd w:fill="auto" w:val="clear"/>
              </w:rPr>
            </w:pPr>
            <w:r>
              <w:rPr>
                <w:sz w:val="16"/>
                <w:szCs w:val="16"/>
                <w:shd w:fill="auto" w:val="clear"/>
              </w:rPr>
            </w:r>
          </w:p>
        </w:tc>
      </w:tr>
      <w:tr>
        <w:trPr>
          <w:trHeight w:val="225" w:hRule="atLeast"/>
        </w:trPr>
        <w:tc>
          <w:tcPr>
            <w:tcW w:w="2108" w:type="dxa"/>
            <w:tcBorders>
              <w:left w:val="single" w:sz="4" w:space="0" w:color="000000"/>
              <w:bottom w:val="single" w:sz="4" w:space="0" w:color="000000"/>
              <w:right w:val="single" w:sz="4" w:space="0" w:color="000000"/>
            </w:tcBorders>
            <w:shd w:color="auto" w:fill="auto" w:val="clear"/>
          </w:tcPr>
          <w:p>
            <w:pPr>
              <w:pStyle w:val="Style11"/>
              <w:spacing w:lineRule="auto" w:line="240" w:before="0" w:after="0"/>
              <w:jc w:val="left"/>
              <w:rPr>
                <w:rFonts w:ascii="Times New Roman" w:hAnsi="Times New Roman"/>
                <w:sz w:val="16"/>
                <w:szCs w:val="16"/>
                <w:highlight w:val="none"/>
                <w:shd w:fill="auto" w:val="clear"/>
              </w:rPr>
            </w:pPr>
            <w:r>
              <w:rPr>
                <w:rFonts w:ascii="Times New Roman" w:hAnsi="Times New Roman"/>
                <w:sz w:val="16"/>
                <w:szCs w:val="16"/>
                <w:shd w:fill="auto" w:val="clear"/>
              </w:rPr>
              <w:t>Услуга ведущего для репортажной съемки</w:t>
            </w:r>
          </w:p>
        </w:tc>
        <w:tc>
          <w:tcPr>
            <w:tcW w:w="1013" w:type="dxa"/>
            <w:tcBorders>
              <w:bottom w:val="single" w:sz="4" w:space="0" w:color="000000"/>
              <w:right w:val="single" w:sz="4" w:space="0" w:color="000000"/>
            </w:tcBorders>
            <w:shd w:color="auto" w:fill="auto" w:val="clear"/>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10</w:t>
            </w:r>
          </w:p>
        </w:tc>
        <w:tc>
          <w:tcPr>
            <w:tcW w:w="1194"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10 000,00   </w:t>
            </w:r>
          </w:p>
        </w:tc>
        <w:tc>
          <w:tcPr>
            <w:tcW w:w="985"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12 000,00   </w:t>
            </w:r>
          </w:p>
        </w:tc>
        <w:tc>
          <w:tcPr>
            <w:tcW w:w="1034"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10 000,00   </w:t>
            </w:r>
          </w:p>
        </w:tc>
        <w:tc>
          <w:tcPr>
            <w:tcW w:w="1612" w:type="dxa"/>
            <w:tcBorders>
              <w:left w:val="single" w:sz="4" w:space="0" w:color="000000"/>
              <w:bottom w:val="single" w:sz="4" w:space="0" w:color="000000"/>
              <w:right w:val="single" w:sz="4" w:space="0" w:color="000000"/>
            </w:tcBorders>
            <w:shd w:color="auto" w:fill="auto" w:val="clear"/>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10 000,00   </w:t>
            </w:r>
          </w:p>
        </w:tc>
        <w:tc>
          <w:tcPr>
            <w:tcW w:w="1525"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100 000,00   </w:t>
            </w:r>
          </w:p>
        </w:tc>
        <w:tc>
          <w:tcPr>
            <w:tcW w:w="1470"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16"/>
                <w:szCs w:val="16"/>
                <w:highlight w:val="none"/>
                <w:shd w:fill="auto" w:val="clear"/>
              </w:rPr>
            </w:pPr>
            <w:r>
              <w:rPr>
                <w:sz w:val="16"/>
                <w:szCs w:val="16"/>
                <w:shd w:fill="auto" w:val="clear"/>
              </w:rPr>
            </w:r>
          </w:p>
        </w:tc>
      </w:tr>
      <w:tr>
        <w:trPr>
          <w:trHeight w:val="237" w:hRule="atLeast"/>
        </w:trPr>
        <w:tc>
          <w:tcPr>
            <w:tcW w:w="2108" w:type="dxa"/>
            <w:tcBorders>
              <w:left w:val="single" w:sz="4" w:space="0" w:color="000000"/>
              <w:bottom w:val="single" w:sz="4" w:space="0" w:color="000000"/>
              <w:right w:val="single" w:sz="4" w:space="0" w:color="000000"/>
            </w:tcBorders>
            <w:shd w:color="auto" w:fill="auto" w:val="clear"/>
          </w:tcPr>
          <w:p>
            <w:pPr>
              <w:pStyle w:val="Style11"/>
              <w:spacing w:lineRule="auto" w:line="240" w:before="0" w:after="0"/>
              <w:jc w:val="left"/>
              <w:rPr>
                <w:rFonts w:ascii="Times New Roman" w:hAnsi="Times New Roman"/>
                <w:sz w:val="16"/>
                <w:szCs w:val="16"/>
                <w:highlight w:val="none"/>
                <w:shd w:fill="auto" w:val="clear"/>
              </w:rPr>
            </w:pPr>
            <w:r>
              <w:rPr>
                <w:rFonts w:ascii="Times New Roman" w:hAnsi="Times New Roman"/>
                <w:sz w:val="16"/>
                <w:szCs w:val="16"/>
                <w:shd w:fill="auto" w:val="clear"/>
              </w:rPr>
              <w:t>Услуги новостного сопровождения</w:t>
            </w:r>
          </w:p>
        </w:tc>
        <w:tc>
          <w:tcPr>
            <w:tcW w:w="1013" w:type="dxa"/>
            <w:tcBorders>
              <w:bottom w:val="single" w:sz="4" w:space="0" w:color="000000"/>
              <w:right w:val="single" w:sz="4" w:space="0" w:color="000000"/>
            </w:tcBorders>
            <w:shd w:color="auto" w:fill="auto" w:val="clear"/>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35</w:t>
            </w:r>
          </w:p>
        </w:tc>
        <w:tc>
          <w:tcPr>
            <w:tcW w:w="1194"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12 000,00   </w:t>
            </w:r>
          </w:p>
        </w:tc>
        <w:tc>
          <w:tcPr>
            <w:tcW w:w="985"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7 500,00   </w:t>
            </w:r>
          </w:p>
        </w:tc>
        <w:tc>
          <w:tcPr>
            <w:tcW w:w="1034"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12 000,00   </w:t>
            </w:r>
          </w:p>
        </w:tc>
        <w:tc>
          <w:tcPr>
            <w:tcW w:w="1612" w:type="dxa"/>
            <w:tcBorders>
              <w:left w:val="single" w:sz="4" w:space="0" w:color="000000"/>
              <w:bottom w:val="single" w:sz="4" w:space="0" w:color="000000"/>
              <w:right w:val="single" w:sz="4" w:space="0" w:color="000000"/>
            </w:tcBorders>
            <w:shd w:color="auto" w:fill="auto" w:val="clear"/>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7 500,00   </w:t>
            </w:r>
          </w:p>
        </w:tc>
        <w:tc>
          <w:tcPr>
            <w:tcW w:w="1525"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262 500,00   </w:t>
            </w:r>
          </w:p>
        </w:tc>
        <w:tc>
          <w:tcPr>
            <w:tcW w:w="1470"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16"/>
                <w:szCs w:val="16"/>
                <w:highlight w:val="none"/>
                <w:shd w:fill="auto" w:val="clear"/>
              </w:rPr>
            </w:pPr>
            <w:r>
              <w:rPr>
                <w:sz w:val="16"/>
                <w:szCs w:val="16"/>
                <w:shd w:fill="auto" w:val="clear"/>
              </w:rPr>
            </w:r>
          </w:p>
        </w:tc>
      </w:tr>
      <w:tr>
        <w:trPr>
          <w:trHeight w:val="84" w:hRule="atLeast"/>
        </w:trPr>
        <w:tc>
          <w:tcPr>
            <w:tcW w:w="2108" w:type="dxa"/>
            <w:tcBorders>
              <w:left w:val="single" w:sz="4" w:space="0" w:color="000000"/>
              <w:bottom w:val="single" w:sz="4" w:space="0" w:color="000000"/>
              <w:right w:val="single" w:sz="4" w:space="0" w:color="000000"/>
            </w:tcBorders>
            <w:shd w:color="auto" w:fill="auto" w:val="clear"/>
          </w:tcPr>
          <w:p>
            <w:pPr>
              <w:pStyle w:val="Style11"/>
              <w:spacing w:lineRule="auto" w:line="240" w:before="0" w:after="0"/>
              <w:jc w:val="left"/>
              <w:rPr>
                <w:rFonts w:ascii="Times New Roman" w:hAnsi="Times New Roman"/>
                <w:sz w:val="16"/>
                <w:szCs w:val="16"/>
                <w:highlight w:val="none"/>
                <w:shd w:fill="auto" w:val="clear"/>
              </w:rPr>
            </w:pPr>
            <w:r>
              <w:rPr>
                <w:rFonts w:ascii="Times New Roman" w:hAnsi="Times New Roman"/>
                <w:sz w:val="16"/>
                <w:szCs w:val="16"/>
                <w:shd w:fill="auto" w:val="clear"/>
              </w:rPr>
              <w:t>Создание видеороликов</w:t>
            </w:r>
          </w:p>
        </w:tc>
        <w:tc>
          <w:tcPr>
            <w:tcW w:w="1013" w:type="dxa"/>
            <w:tcBorders>
              <w:bottom w:val="single" w:sz="4" w:space="0" w:color="000000"/>
              <w:right w:val="single" w:sz="4" w:space="0" w:color="000000"/>
            </w:tcBorders>
            <w:shd w:color="auto" w:fill="auto" w:val="clear"/>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35</w:t>
            </w:r>
          </w:p>
        </w:tc>
        <w:tc>
          <w:tcPr>
            <w:tcW w:w="1194"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30 000,00   </w:t>
            </w:r>
          </w:p>
        </w:tc>
        <w:tc>
          <w:tcPr>
            <w:tcW w:w="985"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30 000,00   </w:t>
            </w:r>
          </w:p>
        </w:tc>
        <w:tc>
          <w:tcPr>
            <w:tcW w:w="1034"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30 000,00   </w:t>
            </w:r>
          </w:p>
        </w:tc>
        <w:tc>
          <w:tcPr>
            <w:tcW w:w="1612" w:type="dxa"/>
            <w:tcBorders>
              <w:left w:val="single" w:sz="4" w:space="0" w:color="000000"/>
              <w:bottom w:val="single" w:sz="4" w:space="0" w:color="000000"/>
              <w:right w:val="single" w:sz="4" w:space="0" w:color="000000"/>
            </w:tcBorders>
            <w:shd w:color="auto" w:fill="auto" w:val="clear"/>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30 000,00   </w:t>
            </w:r>
          </w:p>
        </w:tc>
        <w:tc>
          <w:tcPr>
            <w:tcW w:w="1525"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1 050 000,00   </w:t>
            </w:r>
          </w:p>
        </w:tc>
        <w:tc>
          <w:tcPr>
            <w:tcW w:w="1470"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16"/>
                <w:szCs w:val="16"/>
                <w:highlight w:val="none"/>
                <w:shd w:fill="auto" w:val="clear"/>
              </w:rPr>
            </w:pPr>
            <w:r>
              <w:rPr>
                <w:sz w:val="16"/>
                <w:szCs w:val="16"/>
                <w:shd w:fill="auto" w:val="clear"/>
              </w:rPr>
            </w:r>
          </w:p>
        </w:tc>
      </w:tr>
      <w:tr>
        <w:trPr>
          <w:trHeight w:val="115" w:hRule="atLeast"/>
        </w:trPr>
        <w:tc>
          <w:tcPr>
            <w:tcW w:w="2108" w:type="dxa"/>
            <w:tcBorders>
              <w:left w:val="single" w:sz="4" w:space="0" w:color="000000"/>
              <w:bottom w:val="single" w:sz="4" w:space="0" w:color="000000"/>
              <w:right w:val="single" w:sz="4" w:space="0" w:color="000000"/>
            </w:tcBorders>
            <w:shd w:color="auto" w:fill="auto" w:val="clear"/>
          </w:tcPr>
          <w:p>
            <w:pPr>
              <w:pStyle w:val="Style11"/>
              <w:spacing w:lineRule="auto" w:line="240" w:before="0" w:after="0"/>
              <w:jc w:val="left"/>
              <w:rPr>
                <w:rFonts w:ascii="Times New Roman" w:hAnsi="Times New Roman"/>
                <w:sz w:val="16"/>
                <w:szCs w:val="16"/>
                <w:highlight w:val="none"/>
                <w:shd w:fill="auto" w:val="clear"/>
              </w:rPr>
            </w:pPr>
            <w:r>
              <w:rPr>
                <w:rFonts w:ascii="Times New Roman" w:hAnsi="Times New Roman"/>
                <w:sz w:val="16"/>
                <w:szCs w:val="16"/>
                <w:shd w:fill="auto" w:val="clear"/>
              </w:rPr>
              <w:t>Создание видеоролика в вертикальном формате для социальных сетей</w:t>
            </w:r>
          </w:p>
        </w:tc>
        <w:tc>
          <w:tcPr>
            <w:tcW w:w="1013" w:type="dxa"/>
            <w:tcBorders>
              <w:bottom w:val="single" w:sz="4" w:space="0" w:color="000000"/>
              <w:right w:val="single" w:sz="4" w:space="0" w:color="000000"/>
            </w:tcBorders>
            <w:shd w:color="auto" w:fill="auto" w:val="clear"/>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10</w:t>
            </w:r>
          </w:p>
        </w:tc>
        <w:tc>
          <w:tcPr>
            <w:tcW w:w="1194"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10 000,00   </w:t>
            </w:r>
          </w:p>
        </w:tc>
        <w:tc>
          <w:tcPr>
            <w:tcW w:w="985"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12 000,00   </w:t>
            </w:r>
          </w:p>
        </w:tc>
        <w:tc>
          <w:tcPr>
            <w:tcW w:w="1034"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10 000,00   </w:t>
            </w:r>
          </w:p>
        </w:tc>
        <w:tc>
          <w:tcPr>
            <w:tcW w:w="1612" w:type="dxa"/>
            <w:tcBorders>
              <w:left w:val="single" w:sz="4" w:space="0" w:color="000000"/>
              <w:bottom w:val="single" w:sz="4" w:space="0" w:color="000000"/>
              <w:right w:val="single" w:sz="4" w:space="0" w:color="000000"/>
            </w:tcBorders>
            <w:shd w:color="auto" w:fill="auto" w:val="clear"/>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10 000,00   </w:t>
            </w:r>
          </w:p>
        </w:tc>
        <w:tc>
          <w:tcPr>
            <w:tcW w:w="1525"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sz w:val="16"/>
                <w:szCs w:val="16"/>
                <w:highlight w:val="none"/>
                <w:shd w:fill="auto" w:val="clear"/>
              </w:rPr>
            </w:pPr>
            <w:r>
              <w:rPr>
                <w:rFonts w:ascii="Times New Roman" w:hAnsi="Times New Roman"/>
                <w:sz w:val="16"/>
                <w:szCs w:val="16"/>
                <w:shd w:fill="auto" w:val="clear"/>
              </w:rPr>
              <w:t xml:space="preserve">100 000,00   </w:t>
            </w:r>
          </w:p>
        </w:tc>
        <w:tc>
          <w:tcPr>
            <w:tcW w:w="1470"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16"/>
                <w:szCs w:val="16"/>
                <w:highlight w:val="none"/>
                <w:shd w:fill="auto" w:val="clear"/>
              </w:rPr>
            </w:pPr>
            <w:r>
              <w:rPr>
                <w:sz w:val="16"/>
                <w:szCs w:val="16"/>
                <w:shd w:fill="auto" w:val="clear"/>
              </w:rPr>
            </w:r>
          </w:p>
        </w:tc>
      </w:tr>
      <w:tr>
        <w:trPr>
          <w:trHeight w:val="123" w:hRule="atLeast"/>
        </w:trPr>
        <w:tc>
          <w:tcPr>
            <w:tcW w:w="2108" w:type="dxa"/>
            <w:tcBorders>
              <w:left w:val="single" w:sz="4" w:space="0" w:color="000000"/>
              <w:bottom w:val="single" w:sz="4" w:space="0" w:color="000000"/>
              <w:right w:val="single" w:sz="4" w:space="0" w:color="000000"/>
            </w:tcBorders>
            <w:shd w:color="auto" w:fill="auto" w:val="clear"/>
          </w:tcPr>
          <w:p>
            <w:pPr>
              <w:pStyle w:val="Style11"/>
              <w:spacing w:lineRule="auto" w:line="240" w:before="0" w:after="0"/>
              <w:jc w:val="left"/>
              <w:rPr>
                <w:rFonts w:ascii="Times New Roman" w:hAnsi="Times New Roman"/>
                <w:b/>
                <w:sz w:val="16"/>
                <w:szCs w:val="16"/>
                <w:highlight w:val="none"/>
                <w:shd w:fill="auto" w:val="clear"/>
              </w:rPr>
            </w:pPr>
            <w:r>
              <w:rPr>
                <w:rFonts w:ascii="Times New Roman" w:hAnsi="Times New Roman"/>
                <w:b/>
                <w:sz w:val="16"/>
                <w:szCs w:val="16"/>
                <w:shd w:fill="auto" w:val="clear"/>
              </w:rPr>
              <w:t>Итого, цена за единицу комплекса услуг:</w:t>
            </w:r>
          </w:p>
        </w:tc>
        <w:tc>
          <w:tcPr>
            <w:tcW w:w="1013" w:type="dxa"/>
            <w:tcBorders>
              <w:bottom w:val="single" w:sz="4" w:space="0" w:color="000000"/>
              <w:right w:val="single" w:sz="4" w:space="0" w:color="000000"/>
            </w:tcBorders>
            <w:shd w:color="auto" w:fill="auto" w:val="clear"/>
            <w:vAlign w:val="center"/>
          </w:tcPr>
          <w:p>
            <w:pPr>
              <w:pStyle w:val="Style11"/>
              <w:spacing w:lineRule="auto" w:line="240" w:before="0" w:after="0"/>
              <w:rPr>
                <w:rFonts w:ascii="Times New Roman" w:hAnsi="Times New Roman"/>
                <w:sz w:val="16"/>
                <w:szCs w:val="16"/>
                <w:highlight w:val="none"/>
                <w:shd w:fill="auto" w:val="clear"/>
              </w:rPr>
            </w:pPr>
            <w:r>
              <w:rPr>
                <w:rFonts w:ascii="Times New Roman" w:hAnsi="Times New Roman"/>
                <w:sz w:val="16"/>
                <w:szCs w:val="16"/>
                <w:shd w:fill="auto" w:val="clear"/>
              </w:rPr>
            </w:r>
          </w:p>
        </w:tc>
        <w:tc>
          <w:tcPr>
            <w:tcW w:w="1194"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b/>
                <w:sz w:val="16"/>
                <w:szCs w:val="16"/>
                <w:highlight w:val="none"/>
                <w:shd w:fill="auto" w:val="clear"/>
              </w:rPr>
            </w:pPr>
            <w:r>
              <w:rPr>
                <w:rFonts w:ascii="Times New Roman" w:hAnsi="Times New Roman"/>
                <w:b/>
                <w:sz w:val="16"/>
                <w:szCs w:val="16"/>
                <w:shd w:fill="auto" w:val="clear"/>
              </w:rPr>
            </w:r>
          </w:p>
        </w:tc>
        <w:tc>
          <w:tcPr>
            <w:tcW w:w="985"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b/>
                <w:sz w:val="16"/>
                <w:szCs w:val="16"/>
                <w:highlight w:val="none"/>
                <w:shd w:fill="auto" w:val="clear"/>
              </w:rPr>
            </w:pPr>
            <w:r>
              <w:rPr>
                <w:rFonts w:ascii="Times New Roman" w:hAnsi="Times New Roman"/>
                <w:b/>
                <w:sz w:val="16"/>
                <w:szCs w:val="16"/>
                <w:shd w:fill="auto" w:val="clear"/>
              </w:rPr>
            </w:r>
          </w:p>
        </w:tc>
        <w:tc>
          <w:tcPr>
            <w:tcW w:w="1034"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b/>
                <w:sz w:val="16"/>
                <w:szCs w:val="16"/>
                <w:highlight w:val="none"/>
                <w:shd w:fill="auto" w:val="clear"/>
              </w:rPr>
            </w:pPr>
            <w:r>
              <w:rPr>
                <w:rFonts w:ascii="Times New Roman" w:hAnsi="Times New Roman"/>
                <w:b/>
                <w:sz w:val="16"/>
                <w:szCs w:val="16"/>
                <w:shd w:fill="auto" w:val="clear"/>
              </w:rPr>
            </w:r>
          </w:p>
        </w:tc>
        <w:tc>
          <w:tcPr>
            <w:tcW w:w="1612" w:type="dxa"/>
            <w:tcBorders>
              <w:left w:val="single" w:sz="4" w:space="0" w:color="000000"/>
              <w:bottom w:val="single" w:sz="4" w:space="0" w:color="000000"/>
              <w:right w:val="single" w:sz="4" w:space="0" w:color="000000"/>
            </w:tcBorders>
            <w:shd w:color="auto" w:fill="auto" w:val="clear"/>
            <w:vAlign w:val="center"/>
          </w:tcPr>
          <w:p>
            <w:pPr>
              <w:pStyle w:val="Style11"/>
              <w:spacing w:lineRule="auto" w:line="240" w:before="0" w:after="0"/>
              <w:jc w:val="center"/>
              <w:rPr>
                <w:rFonts w:ascii="Times New Roman" w:hAnsi="Times New Roman"/>
                <w:b/>
                <w:sz w:val="16"/>
                <w:szCs w:val="16"/>
                <w:highlight w:val="none"/>
                <w:shd w:fill="auto" w:val="clear"/>
              </w:rPr>
            </w:pPr>
            <w:r>
              <w:rPr>
                <w:rFonts w:ascii="Times New Roman" w:hAnsi="Times New Roman"/>
                <w:b/>
                <w:sz w:val="16"/>
                <w:szCs w:val="16"/>
                <w:shd w:fill="auto" w:val="clear"/>
              </w:rPr>
              <w:t xml:space="preserve">126 000,00   </w:t>
            </w:r>
          </w:p>
        </w:tc>
        <w:tc>
          <w:tcPr>
            <w:tcW w:w="1525" w:type="dxa"/>
            <w:tcBorders>
              <w:left w:val="single" w:sz="4" w:space="0" w:color="000000"/>
              <w:bottom w:val="single" w:sz="4" w:space="0" w:color="000000"/>
              <w:right w:val="single" w:sz="4" w:space="0" w:color="000000"/>
            </w:tcBorders>
            <w:vAlign w:val="center"/>
          </w:tcPr>
          <w:p>
            <w:pPr>
              <w:pStyle w:val="Style11"/>
              <w:spacing w:lineRule="auto" w:line="240" w:before="0" w:after="0"/>
              <w:jc w:val="center"/>
              <w:rPr>
                <w:rFonts w:ascii="Times New Roman" w:hAnsi="Times New Roman"/>
                <w:b w:val="false"/>
                <w:bCs w:val="false"/>
                <w:sz w:val="16"/>
                <w:szCs w:val="16"/>
                <w:highlight w:val="none"/>
                <w:shd w:fill="auto" w:val="clear"/>
              </w:rPr>
            </w:pPr>
            <w:r>
              <w:rPr>
                <w:rFonts w:ascii="Times New Roman" w:hAnsi="Times New Roman"/>
                <w:b w:val="false"/>
                <w:bCs w:val="false"/>
                <w:sz w:val="16"/>
                <w:szCs w:val="16"/>
                <w:shd w:fill="auto" w:val="clear"/>
              </w:rPr>
              <w:t xml:space="preserve">13 160 000,00   </w:t>
            </w:r>
          </w:p>
        </w:tc>
        <w:tc>
          <w:tcPr>
            <w:tcW w:w="1470"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16"/>
                <w:szCs w:val="16"/>
                <w:highlight w:val="none"/>
                <w:shd w:fill="auto" w:val="clear"/>
              </w:rPr>
            </w:pPr>
            <w:r>
              <w:rPr>
                <w:sz w:val="16"/>
                <w:szCs w:val="16"/>
                <w:shd w:fill="auto" w:val="clear"/>
              </w:rPr>
            </w:r>
          </w:p>
        </w:tc>
      </w:tr>
    </w:tbl>
    <w:p>
      <w:pPr>
        <w:pStyle w:val="Normal"/>
        <w:spacing w:lineRule="auto" w:line="240" w:before="0" w:after="0"/>
        <w:ind w:firstLine="567"/>
        <w:contextualSpacing/>
        <w:jc w:val="both"/>
        <w:rPr>
          <w:highlight w:val="none"/>
          <w:shd w:fill="auto" w:val="clear"/>
        </w:rPr>
      </w:pPr>
      <w:r>
        <w:rPr>
          <w:shd w:fill="auto" w:val="clear"/>
        </w:rPr>
      </w:r>
    </w:p>
    <w:p>
      <w:pPr>
        <w:pStyle w:val="Normal"/>
        <w:spacing w:lineRule="auto" w:line="240" w:before="0" w:after="0"/>
        <w:ind w:firstLine="567"/>
        <w:contextualSpacing/>
        <w:jc w:val="both"/>
        <w:rPr>
          <w:highlight w:val="none"/>
          <w:shd w:fill="auto" w:val="clear"/>
        </w:rPr>
      </w:pPr>
      <w:r>
        <w:fldChar w:fldCharType="begin"/>
      </w:r>
      <w:r>
        <w:rPr>
          <w:shd w:fill="auto" w:val="clear"/>
        </w:rPr>
        <w:instrText xml:space="preserve">LINK Excel.Sheet.12 "C:\\Users\\trutneva.e\\Desktop\\ДИРЕКЦИЯ\\1124\\Obosnovanie ceny'_postavshhiki.xlsx" "сравнит!R5C1:R9C5" \a \f 4 \h  \* MERGEFORMAT</w:instrText>
      </w:r>
      <w:r>
        <w:rPr>
          <w:shd w:fill="auto" w:val="clear"/>
        </w:rPr>
      </w:r>
      <w:r>
        <w:rPr>
          <w:shd w:fill="auto" w:val="clear"/>
        </w:rPr>
        <w:fldChar w:fldCharType="separate"/>
      </w:r>
      <w:r/>
      <w:r>
        <w:rPr>
          <w:shd w:fill="auto" w:val="clear"/>
        </w:rPr>
      </w:r>
    </w:p>
    <w:p>
      <w:pPr>
        <w:pStyle w:val="Normal"/>
        <w:spacing w:lineRule="auto" w:line="240" w:before="0" w:after="0"/>
        <w:rPr>
          <w:highlight w:val="none"/>
          <w:shd w:fill="auto" w:val="clear"/>
        </w:rPr>
      </w:pPr>
      <w:r/>
      <w:r>
        <w:rPr>
          <w:shd w:fill="auto" w:val="clear"/>
        </w:rPr>
        <w:fldChar w:fldCharType="end"/>
      </w:r>
      <w:r>
        <w:rPr>
          <w:shd w:fill="auto" w:val="clear"/>
        </w:rPr>
      </w:r>
    </w:p>
    <w:p>
      <w:pPr>
        <w:pStyle w:val="Normal"/>
        <w:rPr>
          <w:rFonts w:ascii="Times New Roman" w:hAnsi="Times New Roman" w:eastAsia="Times New Roman" w:cs="Times New Roman"/>
          <w:i/>
          <w:i/>
          <w:color w:val="000000"/>
          <w:highlight w:val="none"/>
          <w:shd w:fill="auto" w:val="clear"/>
        </w:rPr>
      </w:pPr>
      <w:r>
        <w:rPr>
          <w:rFonts w:eastAsia="Times New Roman" w:cs="Times New Roman" w:ascii="Times New Roman" w:hAnsi="Times New Roman"/>
          <w:i/>
          <w:color w:val="000000"/>
          <w:shd w:fill="auto" w:val="clear"/>
        </w:rPr>
      </w:r>
      <w:r>
        <w:br w:type="page"/>
      </w:r>
    </w:p>
    <w:p>
      <w:pPr>
        <w:pStyle w:val="Normal"/>
        <w:spacing w:lineRule="auto" w:line="240" w:before="0" w:after="0"/>
        <w:ind w:firstLine="540"/>
        <w:jc w:val="right"/>
        <w:rPr>
          <w:highlight w:val="none"/>
          <w:shd w:fill="auto" w:val="clear"/>
        </w:rPr>
      </w:pPr>
      <w:r>
        <w:rPr>
          <w:rFonts w:eastAsia="Times New Roman" w:cs="Times New Roman" w:ascii="Times New Roman" w:hAnsi="Times New Roman"/>
          <w:i/>
          <w:color w:val="000000"/>
          <w:shd w:fill="auto" w:val="clear"/>
        </w:rPr>
        <w:t xml:space="preserve">Приложение №1 </w:t>
      </w:r>
    </w:p>
    <w:p>
      <w:pPr>
        <w:pStyle w:val="Normal"/>
        <w:numPr>
          <w:ilvl w:val="0"/>
          <w:numId w:val="0"/>
        </w:numPr>
        <w:tabs>
          <w:tab w:val="left" w:pos="708" w:leader="none"/>
        </w:tabs>
        <w:spacing w:lineRule="auto" w:line="240" w:before="0" w:after="0"/>
        <w:jc w:val="both"/>
        <w:outlineLvl w:val="1"/>
        <w:rPr>
          <w:rFonts w:ascii="Times New Roman" w:hAnsi="Times New Roman" w:eastAsia="Times New Roman" w:cs="Times New Roman"/>
          <w:b/>
          <w:kern w:val="2"/>
          <w:highlight w:val="none"/>
          <w:shd w:fill="auto" w:val="clear"/>
          <w:lang w:eastAsia="ar-SA"/>
        </w:rPr>
      </w:pPr>
      <w:r>
        <w:rPr>
          <w:rFonts w:eastAsia="Times New Roman" w:cs="Times New Roman" w:ascii="Times New Roman" w:hAnsi="Times New Roman"/>
          <w:b/>
          <w:kern w:val="2"/>
          <w:shd w:fill="auto" w:val="clear"/>
          <w:lang w:eastAsia="ar-SA"/>
        </w:rPr>
      </w:r>
    </w:p>
    <w:p>
      <w:pPr>
        <w:pStyle w:val="Normal"/>
        <w:numPr>
          <w:ilvl w:val="0"/>
          <w:numId w:val="0"/>
        </w:numPr>
        <w:tabs>
          <w:tab w:val="left" w:pos="708" w:leader="none"/>
        </w:tabs>
        <w:spacing w:lineRule="auto" w:line="240" w:before="0" w:after="0"/>
        <w:jc w:val="both"/>
        <w:outlineLvl w:val="1"/>
        <w:rPr>
          <w:highlight w:val="none"/>
          <w:shd w:fill="auto" w:val="clear"/>
        </w:rPr>
      </w:pPr>
      <w:r>
        <w:rPr>
          <w:rFonts w:eastAsia="Times New Roman" w:cs="Times New Roman" w:ascii="Times New Roman" w:hAnsi="Times New Roman"/>
          <w:b/>
          <w:kern w:val="2"/>
          <w:shd w:fill="auto" w:val="clear"/>
          <w:lang w:eastAsia="ar-SA"/>
        </w:rPr>
        <w:t>Форма декларации Участника закупки.</w:t>
      </w:r>
    </w:p>
    <w:p>
      <w:pPr>
        <w:pStyle w:val="Normal"/>
        <w:spacing w:lineRule="auto" w:line="240" w:before="0" w:after="0"/>
        <w:rPr>
          <w:rFonts w:ascii="Times New Roman" w:hAnsi="Times New Roman" w:eastAsia="Times New Roman" w:cs="Times New Roman"/>
          <w:color w:val="000000"/>
          <w:highlight w:val="none"/>
          <w:shd w:fill="auto" w:val="clear"/>
        </w:rPr>
      </w:pPr>
      <w:r>
        <w:rPr>
          <w:rFonts w:eastAsia="Times New Roman" w:cs="Times New Roman" w:ascii="Times New Roman" w:hAnsi="Times New Roman"/>
          <w:color w:val="000000"/>
          <w:shd w:fill="auto" w:val="clear"/>
        </w:rPr>
      </w:r>
    </w:p>
    <w:p>
      <w:pPr>
        <w:pStyle w:val="Normal"/>
        <w:spacing w:lineRule="auto" w:line="240" w:before="0" w:after="0"/>
        <w:rPr>
          <w:highlight w:val="none"/>
          <w:shd w:fill="auto" w:val="clear"/>
        </w:rPr>
      </w:pPr>
      <w:r>
        <w:rPr>
          <w:rFonts w:eastAsia="Times New Roman" w:cs="Times New Roman" w:ascii="Times New Roman" w:hAnsi="Times New Roman"/>
          <w:b/>
          <w:color w:val="000000"/>
          <w:szCs w:val="24"/>
          <w:shd w:fill="auto" w:val="clear"/>
        </w:rPr>
        <w:t xml:space="preserve">Настоящей декларацией _______________________________ подтверждает: </w:t>
      </w:r>
    </w:p>
    <w:p>
      <w:pPr>
        <w:pStyle w:val="Normal"/>
        <w:spacing w:lineRule="auto" w:line="240" w:before="0" w:after="0"/>
        <w:rPr>
          <w:highlight w:val="none"/>
          <w:shd w:fill="auto" w:val="clear"/>
        </w:rPr>
      </w:pPr>
      <w:r>
        <w:rPr>
          <w:rFonts w:eastAsia="Times New Roman" w:cs="Times New Roman" w:ascii="Times New Roman" w:hAnsi="Times New Roman"/>
          <w:b/>
          <w:color w:val="000000"/>
          <w:szCs w:val="24"/>
          <w:shd w:fill="auto" w:val="clear"/>
        </w:rPr>
        <w:tab/>
        <w:tab/>
        <w:tab/>
        <w:tab/>
        <w:tab/>
      </w:r>
      <w:r>
        <w:rPr>
          <w:rFonts w:eastAsia="Times New Roman" w:cs="Times New Roman" w:ascii="Times New Roman" w:hAnsi="Times New Roman"/>
          <w:b/>
          <w:color w:val="000000"/>
          <w:sz w:val="16"/>
          <w:szCs w:val="16"/>
          <w:shd w:fill="auto" w:val="clear"/>
        </w:rPr>
        <w:t>(наименование участника закупки)</w:t>
      </w:r>
    </w:p>
    <w:p>
      <w:pPr>
        <w:pStyle w:val="Normal"/>
        <w:spacing w:lineRule="auto" w:line="240" w:before="0" w:after="0"/>
        <w:jc w:val="both"/>
        <w:rPr>
          <w:rFonts w:ascii="Times New Roman" w:hAnsi="Times New Roman" w:eastAsia="Times New Roman" w:cs="Times New Roman"/>
          <w:b/>
          <w:color w:val="000000"/>
          <w:sz w:val="16"/>
          <w:szCs w:val="16"/>
          <w:highlight w:val="none"/>
          <w:shd w:fill="auto" w:val="clear"/>
        </w:rPr>
      </w:pPr>
      <w:r>
        <w:rPr>
          <w:rFonts w:eastAsia="Times New Roman" w:cs="Times New Roman" w:ascii="Times New Roman" w:hAnsi="Times New Roman"/>
          <w:b/>
          <w:color w:val="000000"/>
          <w:sz w:val="16"/>
          <w:szCs w:val="16"/>
          <w:shd w:fill="auto" w:val="clear"/>
        </w:rPr>
      </w:r>
    </w:p>
    <w:p>
      <w:pPr>
        <w:pStyle w:val="Normal"/>
        <w:spacing w:lineRule="auto" w:line="240" w:before="0" w:after="0"/>
        <w:jc w:val="both"/>
        <w:rPr>
          <w:highlight w:val="none"/>
          <w:shd w:fill="auto" w:val="clear"/>
        </w:rPr>
      </w:pPr>
      <w:r>
        <w:rPr>
          <w:rFonts w:eastAsia="Times New Roman" w:cs="Times New Roman" w:ascii="Times New Roman" w:hAnsi="Times New Roman"/>
          <w:color w:val="000000"/>
          <w:szCs w:val="24"/>
          <w:shd w:fill="auto" w:val="clear"/>
        </w:rPr>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конкурентного отбора;</w:t>
      </w:r>
    </w:p>
    <w:p>
      <w:pPr>
        <w:pStyle w:val="Normal"/>
        <w:spacing w:lineRule="auto" w:line="240" w:before="0" w:after="0"/>
        <w:jc w:val="both"/>
        <w:rPr>
          <w:highlight w:val="none"/>
          <w:shd w:fill="auto" w:val="clear"/>
        </w:rPr>
      </w:pPr>
      <w:r>
        <w:rPr>
          <w:rFonts w:eastAsia="Times New Roman" w:cs="Times New Roman" w:ascii="Times New Roman" w:hAnsi="Times New Roman"/>
          <w:color w:val="000000"/>
          <w:szCs w:val="24"/>
          <w:shd w:fill="auto" w:val="clear"/>
        </w:rPr>
        <w:t>-непроведение ликвидации  юридического лица и отсутствие решения арбитражного суда о признании юридического лица, индивидуального предпринимателя банкротом и об открытии конкурсного производства;</w:t>
      </w:r>
    </w:p>
    <w:p>
      <w:pPr>
        <w:pStyle w:val="Normal"/>
        <w:spacing w:lineRule="auto" w:line="240" w:before="0" w:after="0"/>
        <w:jc w:val="both"/>
        <w:rPr>
          <w:highlight w:val="none"/>
          <w:shd w:fill="auto" w:val="clear"/>
        </w:rPr>
      </w:pPr>
      <w:r>
        <w:rPr>
          <w:rFonts w:eastAsia="Times New Roman" w:cs="Times New Roman" w:ascii="Times New Roman" w:hAnsi="Times New Roman"/>
          <w:color w:val="000000"/>
          <w:szCs w:val="24"/>
          <w:shd w:fill="auto" w:val="clear"/>
        </w:rPr>
        <w:t>-неприостановление деятельности в порядке, предусмотренном Кодексом Российской Федерации об административных правонарушениях, на день подачи предложения на участие;</w:t>
      </w:r>
    </w:p>
    <w:p>
      <w:pPr>
        <w:pStyle w:val="Normal"/>
        <w:spacing w:lineRule="auto" w:line="240" w:before="0" w:after="0"/>
        <w:jc w:val="both"/>
        <w:rPr>
          <w:highlight w:val="none"/>
          <w:shd w:fill="auto" w:val="clear"/>
        </w:rPr>
      </w:pPr>
      <w:r>
        <w:rPr>
          <w:rFonts w:eastAsia="Times New Roman" w:cs="Times New Roman" w:ascii="Times New Roman" w:hAnsi="Times New Roman"/>
          <w:color w:val="000000"/>
          <w:szCs w:val="24"/>
          <w:shd w:fill="auto" w:val="clear"/>
        </w:rPr>
        <w:t xml:space="preserve">-отсутствие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по данным бухгалтерской отчетности за последний завершенный отчетный период. </w:t>
      </w:r>
    </w:p>
    <w:p>
      <w:pPr>
        <w:pStyle w:val="Normal"/>
        <w:spacing w:lineRule="auto" w:line="240" w:before="0" w:after="0"/>
        <w:rPr>
          <w:rFonts w:ascii="Times New Roman" w:hAnsi="Times New Roman" w:eastAsia="Times New Roman" w:cs="Times New Roman"/>
          <w:color w:val="000000"/>
          <w:szCs w:val="24"/>
          <w:highlight w:val="none"/>
          <w:shd w:fill="auto" w:val="clear"/>
        </w:rPr>
      </w:pPr>
      <w:r>
        <w:rPr>
          <w:rFonts w:eastAsia="Times New Roman" w:cs="Times New Roman" w:ascii="Times New Roman" w:hAnsi="Times New Roman"/>
          <w:color w:val="000000"/>
          <w:szCs w:val="24"/>
          <w:shd w:fill="auto" w:val="clear"/>
        </w:rPr>
      </w:r>
    </w:p>
    <w:p>
      <w:pPr>
        <w:pStyle w:val="Normal"/>
        <w:spacing w:lineRule="auto" w:line="240" w:before="0" w:after="0"/>
        <w:rPr>
          <w:rFonts w:ascii="Times New Roman" w:hAnsi="Times New Roman" w:eastAsia="Times New Roman" w:cs="Times New Roman"/>
          <w:color w:val="000000"/>
          <w:szCs w:val="24"/>
          <w:highlight w:val="none"/>
          <w:shd w:fill="auto" w:val="clear"/>
        </w:rPr>
      </w:pPr>
      <w:r>
        <w:rPr>
          <w:rFonts w:eastAsia="Times New Roman" w:cs="Times New Roman" w:ascii="Times New Roman" w:hAnsi="Times New Roman"/>
          <w:color w:val="000000"/>
          <w:szCs w:val="24"/>
          <w:shd w:fill="auto" w:val="clear"/>
        </w:rPr>
      </w:r>
    </w:p>
    <w:p>
      <w:pPr>
        <w:pStyle w:val="Normal"/>
        <w:spacing w:lineRule="auto" w:line="240" w:before="0" w:after="0"/>
        <w:rPr>
          <w:rFonts w:ascii="Times New Roman" w:hAnsi="Times New Roman" w:eastAsia="Times New Roman" w:cs="Times New Roman"/>
          <w:color w:val="000000"/>
          <w:szCs w:val="24"/>
          <w:highlight w:val="none"/>
          <w:shd w:fill="auto" w:val="clear"/>
        </w:rPr>
      </w:pPr>
      <w:r>
        <w:rPr>
          <w:rFonts w:eastAsia="Times New Roman" w:cs="Times New Roman" w:ascii="Times New Roman" w:hAnsi="Times New Roman"/>
          <w:color w:val="000000"/>
          <w:szCs w:val="24"/>
          <w:shd w:fill="auto" w:val="clear"/>
        </w:rPr>
      </w:r>
    </w:p>
    <w:p>
      <w:pPr>
        <w:pStyle w:val="Normal"/>
        <w:spacing w:lineRule="auto" w:line="240" w:before="0" w:after="0"/>
        <w:rPr>
          <w:highlight w:val="none"/>
          <w:shd w:fill="auto" w:val="clear"/>
        </w:rPr>
      </w:pPr>
      <w:r>
        <w:rPr>
          <w:rFonts w:eastAsia="Times New Roman" w:cs="Times New Roman" w:ascii="Times New Roman" w:hAnsi="Times New Roman"/>
          <w:color w:val="000000"/>
          <w:szCs w:val="24"/>
          <w:shd w:fill="auto" w:val="clear"/>
        </w:rPr>
        <w:t>Руководитель _________________/_______________/</w:t>
        <w:tab/>
        <w:tab/>
        <w:tab/>
        <w:tab/>
        <w:tab/>
        <w:tab/>
        <w:tab/>
        <w:tab/>
        <w:tab/>
        <w:t xml:space="preserve">дата </w:t>
      </w:r>
    </w:p>
    <w:p>
      <w:pPr>
        <w:pStyle w:val="Normal"/>
        <w:spacing w:lineRule="auto" w:line="240" w:before="0" w:after="0"/>
        <w:rPr>
          <w:highlight w:val="none"/>
          <w:shd w:fill="auto" w:val="clear"/>
        </w:rPr>
      </w:pPr>
      <w:r>
        <w:rPr>
          <w:rFonts w:eastAsia="Times New Roman" w:cs="Times New Roman" w:ascii="Times New Roman" w:hAnsi="Times New Roman"/>
          <w:color w:val="000000"/>
          <w:szCs w:val="24"/>
          <w:shd w:fill="auto" w:val="clear"/>
        </w:rPr>
        <w:tab/>
        <w:tab/>
        <w:tab/>
        <w:tab/>
        <w:tab/>
        <w:t>М.П.</w:t>
      </w:r>
    </w:p>
    <w:p>
      <w:pPr>
        <w:pStyle w:val="Normal"/>
        <w:spacing w:lineRule="auto" w:line="240" w:before="0" w:after="0"/>
        <w:ind w:firstLine="540"/>
        <w:jc w:val="both"/>
        <w:rPr>
          <w:rFonts w:ascii="Times New Roman" w:hAnsi="Times New Roman" w:eastAsia="Times New Roman" w:cs="Times New Roman"/>
          <w:color w:val="000000"/>
          <w:highlight w:val="none"/>
          <w:shd w:fill="auto" w:val="clear"/>
        </w:rPr>
      </w:pPr>
      <w:r>
        <w:rPr>
          <w:rFonts w:eastAsia="Times New Roman" w:cs="Times New Roman" w:ascii="Times New Roman" w:hAnsi="Times New Roman"/>
          <w:color w:val="000000"/>
          <w:shd w:fill="auto" w:val="clear"/>
        </w:rPr>
      </w:r>
    </w:p>
    <w:p>
      <w:pPr>
        <w:pStyle w:val="Normal"/>
        <w:spacing w:lineRule="auto" w:line="240" w:before="0" w:after="0"/>
        <w:ind w:firstLine="540"/>
        <w:jc w:val="both"/>
        <w:rPr>
          <w:rFonts w:ascii="Times New Roman" w:hAnsi="Times New Roman" w:eastAsia="Times New Roman" w:cs="Times New Roman"/>
          <w:color w:val="000000"/>
          <w:highlight w:val="none"/>
          <w:shd w:fill="auto" w:val="clear"/>
        </w:rPr>
      </w:pPr>
      <w:r>
        <w:rPr>
          <w:rFonts w:eastAsia="Times New Roman" w:cs="Times New Roman" w:ascii="Times New Roman" w:hAnsi="Times New Roman"/>
          <w:color w:val="000000"/>
          <w:shd w:fill="auto" w:val="clear"/>
        </w:rPr>
      </w:r>
    </w:p>
    <w:p>
      <w:pPr>
        <w:pStyle w:val="Normal"/>
        <w:spacing w:lineRule="auto" w:line="240" w:before="0" w:after="0"/>
        <w:ind w:firstLine="540"/>
        <w:jc w:val="both"/>
        <w:rPr>
          <w:rFonts w:ascii="Times New Roman" w:hAnsi="Times New Roman" w:eastAsia="Times New Roman" w:cs="Times New Roman"/>
          <w:color w:val="000000"/>
          <w:highlight w:val="none"/>
          <w:shd w:fill="auto" w:val="clear"/>
        </w:rPr>
      </w:pPr>
      <w:r>
        <w:rPr>
          <w:rFonts w:eastAsia="Times New Roman" w:cs="Times New Roman" w:ascii="Times New Roman" w:hAnsi="Times New Roman"/>
          <w:color w:val="000000"/>
          <w:shd w:fill="auto" w:val="clear"/>
        </w:rPr>
      </w:r>
    </w:p>
    <w:p>
      <w:pPr>
        <w:pStyle w:val="Normal"/>
        <w:spacing w:lineRule="auto" w:line="240" w:before="0" w:after="0"/>
        <w:ind w:firstLine="540"/>
        <w:jc w:val="both"/>
        <w:rPr>
          <w:rFonts w:ascii="Times New Roman" w:hAnsi="Times New Roman" w:eastAsia="Times New Roman" w:cs="Times New Roman"/>
          <w:color w:val="000000"/>
          <w:highlight w:val="none"/>
          <w:shd w:fill="auto" w:val="clear"/>
        </w:rPr>
      </w:pPr>
      <w:r>
        <w:rPr>
          <w:rFonts w:eastAsia="Times New Roman" w:cs="Times New Roman" w:ascii="Times New Roman" w:hAnsi="Times New Roman"/>
          <w:color w:val="000000"/>
          <w:shd w:fill="auto" w:val="clear"/>
        </w:rPr>
      </w:r>
    </w:p>
    <w:p>
      <w:pPr>
        <w:pStyle w:val="Normal"/>
        <w:spacing w:lineRule="auto" w:line="240" w:before="0" w:after="0"/>
        <w:ind w:firstLine="540"/>
        <w:jc w:val="both"/>
        <w:rPr>
          <w:rFonts w:ascii="Times New Roman" w:hAnsi="Times New Roman" w:eastAsia="Times New Roman" w:cs="Times New Roman"/>
          <w:color w:val="000000"/>
          <w:highlight w:val="none"/>
          <w:shd w:fill="auto" w:val="clear"/>
        </w:rPr>
      </w:pPr>
      <w:r>
        <w:rPr>
          <w:rFonts w:eastAsia="Times New Roman" w:cs="Times New Roman" w:ascii="Times New Roman" w:hAnsi="Times New Roman"/>
          <w:color w:val="000000"/>
          <w:shd w:fill="auto" w:val="clear"/>
        </w:rPr>
      </w:r>
    </w:p>
    <w:p>
      <w:pPr>
        <w:pStyle w:val="Normal"/>
        <w:spacing w:lineRule="auto" w:line="240" w:before="0" w:after="0"/>
        <w:ind w:left="-426" w:hanging="0"/>
        <w:jc w:val="both"/>
        <w:rPr>
          <w:rFonts w:ascii="Times New Roman" w:hAnsi="Times New Roman" w:eastAsia="Times New Roman" w:cs="Times New Roman"/>
          <w:color w:val="000000"/>
          <w:highlight w:val="none"/>
          <w:shd w:fill="auto" w:val="clear"/>
        </w:rPr>
      </w:pPr>
      <w:r>
        <w:rPr>
          <w:rFonts w:eastAsia="Times New Roman" w:cs="Times New Roman" w:ascii="Times New Roman" w:hAnsi="Times New Roman"/>
          <w:color w:val="000000"/>
          <w:shd w:fill="auto" w:val="clear"/>
        </w:rPr>
      </w:r>
    </w:p>
    <w:p>
      <w:pPr>
        <w:pStyle w:val="Normal"/>
        <w:tabs>
          <w:tab w:val="clear" w:pos="708"/>
          <w:tab w:val="left" w:pos="6564" w:leader="none"/>
        </w:tabs>
        <w:rPr>
          <w:highlight w:val="none"/>
          <w:shd w:fill="auto" w:val="clear"/>
        </w:rPr>
      </w:pPr>
      <w:r>
        <w:rPr>
          <w:rFonts w:eastAsia="Times New Roman" w:cs="Times New Roman" w:ascii="Times New Roman" w:hAnsi="Times New Roman"/>
          <w:color w:val="000000"/>
          <w:shd w:fill="auto" w:val="clear"/>
        </w:rPr>
        <w:tab/>
      </w:r>
    </w:p>
    <w:p>
      <w:pPr>
        <w:pStyle w:val="Normal"/>
        <w:spacing w:before="0" w:after="200"/>
        <w:rPr>
          <w:highlight w:val="none"/>
          <w:shd w:fill="auto" w:val="clear"/>
        </w:rPr>
      </w:pPr>
      <w:r>
        <w:rPr>
          <w:shd w:fill="auto" w:val="clear"/>
        </w:rPr>
      </w:r>
    </w:p>
    <w:sectPr>
      <w:type w:val="nextPage"/>
      <w:pgSz w:w="11906" w:h="16838"/>
      <w:pgMar w:left="567" w:right="567" w:gutter="0" w:header="0" w:top="284" w:footer="0" w:bottom="425"/>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PT Astra Serif">
    <w:charset w:val="01"/>
    <w:family w:val="roman"/>
    <w:pitch w:val="variable"/>
  </w:font>
  <w:font w:name="Times New Roman">
    <w:charset w:val="01"/>
    <w:family w:val="roman"/>
    <w:pitch w:val="variable"/>
  </w:font>
  <w:font w:name="Times New Roman">
    <w:charset w:val="01"/>
    <w:family w:val="auto"/>
    <w:pitch w:val="default"/>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Style9">
    <w:name w:val="Заголовок"/>
    <w:basedOn w:val="Normal"/>
    <w:next w:val="BodyText"/>
    <w:qFormat/>
    <w:pPr>
      <w:keepNext w:val="true"/>
      <w:spacing w:before="240" w:after="120"/>
    </w:pPr>
    <w:rPr>
      <w:rFonts w:ascii="Liberation Sans" w:hAnsi="Liberation Sans" w:eastAsia="Tahoma" w:cs="Noto Sans Devanagari"/>
      <w:sz w:val="28"/>
      <w:szCs w:val="28"/>
    </w:rPr>
  </w:style>
  <w:style w:type="paragraph" w:styleId="BodyText">
    <w:name w:val="Body Text"/>
    <w:basedOn w:val="Normal"/>
    <w:pPr>
      <w:spacing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0">
    <w:name w:val="Указатель"/>
    <w:basedOn w:val="Normal"/>
    <w:qFormat/>
    <w:pPr>
      <w:suppressLineNumbers/>
    </w:pPr>
    <w:rPr>
      <w:rFonts w:cs="Noto Sans Devanagari"/>
    </w:rPr>
  </w:style>
  <w:style w:type="paragraph" w:styleId="Title">
    <w:name w:val="Title"/>
    <w:basedOn w:val="Normal"/>
    <w:next w:val="BodyText"/>
    <w:qFormat/>
    <w:pPr>
      <w:keepNext w:val="true"/>
      <w:spacing w:before="240" w:after="120"/>
    </w:pPr>
    <w:rPr>
      <w:rFonts w:ascii="PT Astra Serif" w:hAnsi="PT Astra Serif" w:eastAsia="Tahoma" w:cs="Noto Sans Devanagari"/>
      <w:sz w:val="28"/>
      <w:szCs w:val="28"/>
    </w:rPr>
  </w:style>
  <w:style w:type="paragraph" w:styleId="Caption1">
    <w:name w:val="caption1"/>
    <w:basedOn w:val="Normal"/>
    <w:qFormat/>
    <w:pPr>
      <w:suppressLineNumbers/>
      <w:spacing w:before="120" w:after="120"/>
    </w:pPr>
    <w:rPr>
      <w:rFonts w:ascii="PT Astra Serif" w:hAnsi="PT Astra Serif" w:cs="Noto Sans Devanagari"/>
      <w:i/>
      <w:iCs/>
      <w:sz w:val="24"/>
      <w:szCs w:val="24"/>
    </w:rPr>
  </w:style>
  <w:style w:type="paragraph" w:styleId="Indexheading">
    <w:name w:val="index heading"/>
    <w:basedOn w:val="Normal"/>
    <w:qFormat/>
    <w:pPr>
      <w:suppressLineNumbers/>
    </w:pPr>
    <w:rPr>
      <w:rFonts w:ascii="PT Astra Serif" w:hAnsi="PT Astra Serif" w:cs="Noto Sans Devanagari"/>
    </w:rPr>
  </w:style>
  <w:style w:type="paragraph" w:styleId="Style11">
    <w:name w:val="Содержимое таблицы"/>
    <w:basedOn w:val="Normal"/>
    <w:qFormat/>
    <w:pPr>
      <w:widowControl w:val="false"/>
      <w:suppressLineNumbers/>
    </w:pPr>
    <w:rPr/>
  </w:style>
  <w:style w:type="paragraph" w:styleId="Style12">
    <w:name w:val="Заголовок таблицы"/>
    <w:basedOn w:val="Style11"/>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etpzakupki.tatar/"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B3BBA-0A0D-4929-9670-CB13B3DD9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Application>AlterOffice/3.4.0.6$Linux_X86_64 LibreOffice_project/ad8c41dce69105450bf791d4900d64b1f82e10d0</Application>
  <AppVersion>15.0000</AppVersion>
  <Pages>5</Pages>
  <Words>1762</Words>
  <Characters>12368</Characters>
  <CharactersWithSpaces>14120</CharactersWithSpaces>
  <Paragraphs>181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2024-05-24T12:40:00Z</dcterms:created>
  <dc:creator>Булатова Алия Рамилевна</dc:creator>
  <dc:description/>
  <dc:language>ru-RU</dc:language>
  <cp:lastModifiedBy>Г</cp:lastModifiedBy>
  <dcterms:modified xsi:type="dcterms:W3CDTF">2026-02-18T09:36:17Z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