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6"/>
        <w:numPr>
          <w:ilvl w:val="0"/>
          <w:numId w:val="0"/>
        </w:numPr>
        <w:ind w:left="7088" w:right="0" w:firstLine="0"/>
        <w:widowControl w:val="off"/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УТВЕРЖДАЮ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7088" w:right="0" w:firstLine="0"/>
        <w:tabs>
          <w:tab w:val="clear" w:pos="708" w:leader="none"/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Заместитель председателя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7088" w:right="0" w:firstLine="0"/>
        <w:tabs>
          <w:tab w:val="clear" w:pos="708" w:leader="none"/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Государственного комитета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7088" w:right="0" w:firstLine="0"/>
        <w:tabs>
          <w:tab w:val="clear" w:pos="708" w:leader="none"/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Республики Татарстан по закупкам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7088" w:right="0" w:firstLine="0"/>
        <w:tabs>
          <w:tab w:val="clear" w:pos="708" w:leader="none"/>
          <w:tab w:val="left" w:pos="6379" w:leader="none"/>
        </w:tabs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________________/</w:t>
      </w:r>
      <w:r>
        <w:rPr>
          <w:sz w:val="20"/>
          <w:szCs w:val="20"/>
        </w:rPr>
        <w:t xml:space="preserve">М.С. Алмазова</w:t>
      </w:r>
      <w:r>
        <w:rPr>
          <w:sz w:val="20"/>
          <w:szCs w:val="20"/>
        </w:rPr>
        <w:t xml:space="preserve">/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numPr>
          <w:ilvl w:val="0"/>
          <w:numId w:val="0"/>
        </w:numPr>
        <w:ind w:left="0" w:firstLine="0"/>
        <w:jc w:val="center"/>
        <w:widowControl w:val="off"/>
        <w:rPr>
          <w:sz w:val="20"/>
          <w:szCs w:val="20"/>
          <w:lang w:val="en-US"/>
        </w:rPr>
        <w:outlineLvl w:val="0"/>
      </w:pP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numPr>
          <w:ilvl w:val="0"/>
          <w:numId w:val="0"/>
        </w:numPr>
        <w:ind w:left="0" w:firstLine="0"/>
        <w:jc w:val="center"/>
        <w:widowControl w:val="off"/>
        <w:rPr>
          <w:sz w:val="20"/>
          <w:szCs w:val="20"/>
          <w:lang w:val="en-US"/>
        </w:rPr>
        <w:outlineLvl w:val="0"/>
      </w:pPr>
      <w:r>
        <w:rPr>
          <w:sz w:val="20"/>
          <w:szCs w:val="20"/>
          <w:lang w:val="en-US"/>
        </w:rPr>
        <w:t xml:space="preserve">Протокол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ind w:left="0" w:right="0" w:firstLine="142"/>
        <w:jc w:val="center"/>
        <w:widowControl w:val="off"/>
      </w:pPr>
      <w:r>
        <w:rPr>
          <w:sz w:val="20"/>
          <w:szCs w:val="20"/>
          <w:lang w:val="en-US"/>
        </w:rPr>
        <w:t xml:space="preserve">рассмотрения, оценки и сопоставления предложений на участие в конкурентном отборе № </w:t>
      </w:r>
      <w:r>
        <w:rPr>
          <w:color w:val="000000"/>
          <w:sz w:val="20"/>
          <w:szCs w:val="20"/>
          <w:shd w:val="clear" w:color="auto" w:fill="ffffff"/>
          <w:lang w:val="en-US"/>
        </w:rPr>
        <w:t xml:space="preserve">0011326009DP</w:t>
      </w:r>
      <w:r/>
    </w:p>
    <w:p>
      <w:pPr>
        <w:pStyle w:val="826"/>
        <w:numPr>
          <w:ilvl w:val="0"/>
          <w:numId w:val="0"/>
        </w:numPr>
        <w:ind w:left="0" w:firstLine="0"/>
        <w:jc w:val="center"/>
        <w:widowControl w:val="off"/>
        <w:rPr>
          <w:sz w:val="20"/>
          <w:szCs w:val="20"/>
        </w:rPr>
        <w:outlineLvl w:val="0"/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142" w:right="0" w:firstLine="0"/>
        <w:widowControl w:val="off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г. Казань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  <w:lang w:val="en-US"/>
        </w:rPr>
        <w:t xml:space="preserve">«</w:t>
      </w:r>
      <w:r>
        <w:rPr>
          <w:sz w:val="20"/>
          <w:szCs w:val="20"/>
          <w:lang w:val="en-US"/>
        </w:rPr>
        <w:t xml:space="preserve">26</w:t>
      </w:r>
      <w:r>
        <w:rPr>
          <w:sz w:val="20"/>
          <w:szCs w:val="20"/>
          <w:lang w:val="en-US"/>
        </w:rPr>
        <w:t xml:space="preserve">»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февраля</w:t>
      </w:r>
      <w:r>
        <w:rPr>
          <w:sz w:val="20"/>
          <w:szCs w:val="20"/>
          <w:lang w:val="tt-RU"/>
        </w:rPr>
        <w:t xml:space="preserve"> </w:t>
      </w:r>
      <w:r>
        <w:rPr>
          <w:sz w:val="20"/>
          <w:szCs w:val="20"/>
          <w:lang w:val="en-US"/>
        </w:rPr>
        <w:t xml:space="preserve">20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6</w:t>
      </w:r>
      <w:r>
        <w:rPr>
          <w:sz w:val="20"/>
          <w:szCs w:val="20"/>
          <w:lang w:val="en-US"/>
        </w:rPr>
        <w:t xml:space="preserve"> года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ind w:left="142" w:right="0" w:firstLine="0"/>
        <w:widowControl w:val="off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1. </w:t>
      </w:r>
      <w:r>
        <w:rPr>
          <w:sz w:val="20"/>
          <w:szCs w:val="20"/>
        </w:rPr>
        <w:t xml:space="preserve">Наименование </w:t>
      </w:r>
      <w:r>
        <w:rPr>
          <w:sz w:val="20"/>
          <w:szCs w:val="20"/>
          <w:lang w:val="en-US"/>
        </w:rPr>
        <w:t xml:space="preserve">уполномочен</w:t>
      </w:r>
      <w:r>
        <w:rPr>
          <w:sz w:val="20"/>
          <w:szCs w:val="20"/>
        </w:rPr>
        <w:t xml:space="preserve">ного</w:t>
      </w:r>
      <w:r>
        <w:rPr>
          <w:sz w:val="20"/>
          <w:szCs w:val="20"/>
          <w:lang w:val="en-US"/>
        </w:rPr>
        <w:t xml:space="preserve"> орган</w:t>
      </w:r>
      <w:r>
        <w:rPr>
          <w:sz w:val="20"/>
          <w:szCs w:val="20"/>
        </w:rPr>
        <w:t xml:space="preserve">а</w:t>
      </w:r>
      <w:r>
        <w:rPr>
          <w:sz w:val="20"/>
          <w:szCs w:val="20"/>
          <w:lang w:val="en-US"/>
        </w:rPr>
        <w:t xml:space="preserve">: Государственный комитет Республики Татарстан по закупкам.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lang w:val="en-US"/>
        </w:rPr>
        <w:t xml:space="preserve">3. Наименование конкурентного отбора: Право заключения договора на оказание услуг по организации медиасопровождения мероприятий, проводимых АНО «Дирекция спортивных и социальных проектов»</w:t>
      </w:r>
      <w:r>
        <w:rPr>
          <w:sz w:val="20"/>
          <w:szCs w:val="20"/>
          <w:highlight w:val="white"/>
        </w:rPr>
        <w:t xml:space="preserve">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yellow"/>
        </w:rPr>
      </w:pPr>
      <w:r>
        <w:rPr>
          <w:sz w:val="20"/>
          <w:szCs w:val="20"/>
          <w:highlight w:val="white"/>
        </w:rPr>
        <w:t xml:space="preserve">4. </w:t>
      </w:r>
      <w:r>
        <w:rPr>
          <w:b w:val="0"/>
          <w:bCs w:val="0"/>
          <w:color w:val="000000"/>
          <w:sz w:val="20"/>
          <w:szCs w:val="20"/>
          <w:highlight w:val="white"/>
          <w:shd w:val="clear" w:color="auto" w:fill="ffffff"/>
        </w:rPr>
        <w:t xml:space="preserve">На</w:t>
      </w:r>
      <w:r>
        <w:rPr>
          <w:b w:val="0"/>
          <w:bCs w:val="0"/>
          <w:color w:val="000000"/>
          <w:sz w:val="20"/>
          <w:szCs w:val="20"/>
          <w:shd w:val="clear" w:color="auto" w:fill="ffffff"/>
        </w:rPr>
        <w:t xml:space="preserve">чальная (максимальная) цена за единицу: </w:t>
      </w:r>
      <w:r>
        <w:rPr>
          <w:b w:val="0"/>
          <w:bCs w:val="0"/>
          <w:color w:val="000000"/>
          <w:sz w:val="20"/>
          <w:szCs w:val="20"/>
          <w:shd w:val="clear" w:color="auto" w:fill="ffffff"/>
        </w:rPr>
        <w:t xml:space="preserve">126 000</w:t>
      </w:r>
      <w:r>
        <w:rPr>
          <w:sz w:val="20"/>
          <w:szCs w:val="20"/>
        </w:rPr>
        <w:t xml:space="preserve">,00 руб.</w:t>
      </w: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4.1. Общая цена договора: </w:t>
      </w:r>
      <w:r>
        <w:rPr>
          <w:sz w:val="20"/>
          <w:szCs w:val="20"/>
          <w:lang w:val="en-US"/>
        </w:rPr>
        <w:t xml:space="preserve">13 160 000,</w:t>
      </w:r>
      <w:r>
        <w:rPr>
          <w:sz w:val="20"/>
          <w:szCs w:val="20"/>
          <w:lang w:val="en-US"/>
        </w:rPr>
        <w:t xml:space="preserve">00 руб.</w: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none"/>
          <w:lang w:val="en-US"/>
        </w:rPr>
      </w:pPr>
      <w:r>
        <w:rPr>
          <w:sz w:val="20"/>
          <w:szCs w:val="20"/>
          <w:lang w:val="en-US"/>
        </w:rPr>
        <w:t xml:space="preserve">5. 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sz w:val="20"/>
          <w:szCs w:val="20"/>
          <w:highlight w:val="none"/>
          <w:lang w:val="en-US"/>
        </w:rPr>
      </w:r>
      <w:r>
        <w:rPr>
          <w:sz w:val="20"/>
          <w:szCs w:val="20"/>
          <w:highlight w:val="none"/>
          <w:lang w:val="en-US"/>
        </w:rPr>
      </w:r>
    </w:p>
    <w:p>
      <w:pPr>
        <w:ind w:left="0" w:right="0" w:firstLine="142"/>
        <w:jc w:val="both"/>
        <w:widowControl w:val="off"/>
        <w:rPr>
          <w:sz w:val="20"/>
          <w:szCs w:val="20"/>
          <w:highlight w:val="none"/>
          <w:lang w:val="en-US"/>
        </w:rPr>
      </w:pPr>
      <w:r>
        <w:rPr>
          <w:sz w:val="20"/>
          <w:szCs w:val="20"/>
          <w:highlight w:val="none"/>
          <w:lang w:val="en-US"/>
        </w:rPr>
        <w:t xml:space="preserve">5.1. Ввиду отсутствия секретаря комиссии, путем открытого голосования, единогласным решением членов комиссии, врменно исполняющим обязанности секретаря комиссии избран Гайнуллин А.И.</w:t>
      </w:r>
      <w:r>
        <w:rPr>
          <w:sz w:val="20"/>
          <w:szCs w:val="20"/>
          <w:highlight w:val="none"/>
          <w:lang w:val="en-US"/>
        </w:rPr>
      </w:r>
    </w:p>
    <w:p>
      <w:pPr>
        <w:pStyle w:val="826"/>
        <w:ind w:left="0" w:right="0" w:firstLine="142"/>
        <w:jc w:val="both"/>
        <w:widowControl w:val="off"/>
        <w:rPr>
          <w:bCs/>
          <w:sz w:val="20"/>
          <w:szCs w:val="20"/>
        </w:rPr>
      </w:pPr>
      <w:r>
        <w:rPr>
          <w:sz w:val="20"/>
          <w:szCs w:val="20"/>
          <w:lang w:val="en-US"/>
        </w:rPr>
        <w:t xml:space="preserve">6. </w:t>
      </w:r>
      <w:r>
        <w:rPr>
          <w:sz w:val="20"/>
          <w:szCs w:val="20"/>
        </w:rPr>
        <w:t xml:space="preserve">Процедура рассмотрения, оценки и сопоставления предложений на участие в конкурентном отборе проводилась комиссией в период с 10 часов 00 минут «</w:t>
      </w:r>
      <w:r>
        <w:rPr>
          <w:sz w:val="20"/>
          <w:szCs w:val="20"/>
        </w:rPr>
        <w:t xml:space="preserve">24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февраля</w:t>
      </w:r>
      <w:r>
        <w:rPr>
          <w:sz w:val="20"/>
          <w:szCs w:val="20"/>
        </w:rPr>
        <w:t xml:space="preserve"> 202</w:t>
      </w:r>
      <w:r>
        <w:rPr>
          <w:sz w:val="20"/>
          <w:szCs w:val="20"/>
        </w:rPr>
        <w:t xml:space="preserve">6</w:t>
      </w:r>
      <w:r>
        <w:rPr>
          <w:sz w:val="20"/>
          <w:szCs w:val="20"/>
        </w:rPr>
        <w:t xml:space="preserve"> года до 14 часов 00 минут «</w:t>
      </w:r>
      <w:r>
        <w:rPr>
          <w:sz w:val="20"/>
          <w:szCs w:val="20"/>
        </w:rPr>
        <w:t xml:space="preserve">26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февраля</w:t>
      </w:r>
      <w:r>
        <w:rPr>
          <w:sz w:val="20"/>
          <w:szCs w:val="20"/>
        </w:rPr>
        <w:t xml:space="preserve"> 202</w:t>
      </w:r>
      <w:r>
        <w:rPr>
          <w:sz w:val="20"/>
          <w:szCs w:val="20"/>
        </w:rPr>
        <w:t xml:space="preserve">5</w:t>
      </w:r>
      <w:r>
        <w:rPr>
          <w:sz w:val="20"/>
          <w:szCs w:val="20"/>
        </w:rPr>
        <w:t xml:space="preserve"> года по адресу: Электронная Торговая Система Etpzakupki.tatar http://etpzakupki.tatar.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826"/>
        <w:ind w:left="0" w:right="0" w:firstLine="142"/>
        <w:jc w:val="both"/>
        <w:widowControl w:val="off"/>
        <w:rPr>
          <w:sz w:val="18"/>
          <w:szCs w:val="18"/>
        </w:rPr>
      </w:pPr>
      <w:r>
        <w:rPr>
          <w:bCs/>
          <w:sz w:val="20"/>
          <w:szCs w:val="20"/>
        </w:rPr>
        <w:t xml:space="preserve">7. </w:t>
      </w:r>
      <w:r>
        <w:rPr>
          <w:bCs/>
          <w:sz w:val="20"/>
          <w:szCs w:val="20"/>
          <w:lang w:val="tt-RU"/>
        </w:rPr>
        <w:t xml:space="preserve">Для участия в конкурентном отборе было подано 2</w:t>
      </w:r>
      <w:r>
        <w:rPr>
          <w:bCs/>
          <w:sz w:val="20"/>
          <w:szCs w:val="20"/>
        </w:rPr>
        <w:t xml:space="preserve"> (два)</w:t>
      </w:r>
      <w:r>
        <w:rPr>
          <w:bCs/>
          <w:sz w:val="20"/>
          <w:szCs w:val="20"/>
          <w:lang w:val="tt-RU"/>
        </w:rPr>
        <w:t xml:space="preserve"> предложения:</w:t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1119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8"/>
        <w:gridCol w:w="3119"/>
        <w:gridCol w:w="4145"/>
        <w:gridCol w:w="3226"/>
      </w:tblGrid>
      <w:tr>
        <w:tblPrEx/>
        <w:trPr>
          <w:trHeight w:val="1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Номер заявки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6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  <w:lang w:val="tt-RU"/>
              </w:rPr>
              <w:t xml:space="preserve">Дата и время регистрации заявки</w:t>
            </w:r>
            <w:r/>
          </w:p>
        </w:tc>
      </w:tr>
      <w:tr>
        <w:tblPrEx/>
        <w:trPr>
          <w:trHeight w:val="1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15753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ООО «Ш2»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6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24.02.2026 08:58:08</w:t>
            </w:r>
            <w:r/>
          </w:p>
        </w:tc>
      </w:tr>
      <w:tr>
        <w:tblPrEx/>
        <w:trPr>
          <w:trHeight w:val="2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  <w:lang w:val="en-US"/>
              </w:rPr>
              <w:t xml:space="preserve">15755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45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ООО «ДАРТ Медиа»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6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24.02.2026 09:25:14</w:t>
            </w:r>
            <w:r/>
          </w:p>
        </w:tc>
      </w:tr>
    </w:tbl>
    <w:p>
      <w:pPr>
        <w:pStyle w:val="826"/>
        <w:jc w:val="both"/>
        <w:widowControl w:val="off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  <w:r>
        <w:rPr>
          <w:bCs/>
          <w:sz w:val="20"/>
          <w:szCs w:val="20"/>
        </w:rPr>
        <w:t xml:space="preserve">8. Комиссия уполномоченного органа рассмотрела предложения на участие в конкурентном отборе на соответствие требованиям и условиям, установленным в извещении и документации конкурентного отбора, и приняла решение:</w:t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826"/>
        <w:jc w:val="both"/>
        <w:widowControl w:val="off"/>
        <w:rPr>
          <w:sz w:val="18"/>
          <w:szCs w:val="18"/>
        </w:rPr>
      </w:pPr>
      <w:r>
        <w:rPr>
          <w:bCs/>
          <w:sz w:val="20"/>
          <w:szCs w:val="20"/>
        </w:rPr>
        <w:t xml:space="preserve">   </w:t>
      </w:r>
      <w:r>
        <w:rPr>
          <w:bCs/>
          <w:sz w:val="20"/>
          <w:szCs w:val="20"/>
        </w:rPr>
        <w:t xml:space="preserve">8.1. Допустить к участию и признать участниками конкурентного отбора следующих участников:</w:t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1119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8"/>
        <w:gridCol w:w="3119"/>
        <w:gridCol w:w="7372"/>
      </w:tblGrid>
      <w:tr>
        <w:tblPrEx/>
        <w:trPr>
          <w:trHeight w:val="1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Номер заявки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2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/>
          </w:p>
        </w:tc>
      </w:tr>
      <w:tr>
        <w:tblPrEx/>
        <w:trPr>
          <w:trHeight w:val="1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15753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2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ООО «Ш2»</w:t>
            </w:r>
            <w:r/>
          </w:p>
        </w:tc>
      </w:tr>
      <w:tr>
        <w:tblPrEx/>
        <w:trPr>
          <w:trHeight w:val="1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center"/>
            <w:textDirection w:val="lrTb"/>
            <w:noWrap w:val="false"/>
          </w:tcPr>
          <w:p>
            <w:pPr>
              <w:pStyle w:val="826"/>
              <w:ind w:left="-108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  <w:lang w:val="en-US"/>
              </w:rPr>
              <w:t xml:space="preserve">15755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72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sz w:val="18"/>
                <w:szCs w:val="18"/>
              </w:rPr>
              <w:t xml:space="preserve">ООО «ДАРТ Медиа»</w:t>
            </w:r>
            <w:r/>
          </w:p>
        </w:tc>
      </w:tr>
    </w:tbl>
    <w:p>
      <w:pPr>
        <w:pStyle w:val="826"/>
        <w:ind w:left="0" w:right="0"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9.</w:t>
      </w:r>
      <w:r>
        <w:rPr>
          <w:sz w:val="20"/>
          <w:szCs w:val="20"/>
          <w:lang w:val="en-US"/>
        </w:rPr>
        <w:t xml:space="preserve"> Рассмотрение, оценка и сопоставление предложений в</w:t>
      </w:r>
      <w:r>
        <w:rPr>
          <w:sz w:val="20"/>
          <w:szCs w:val="20"/>
          <w:lang w:val="en-US"/>
        </w:rPr>
        <w:t xml:space="preserve"> конкурентном отборе проводилась комиссией в целях выявления лучших условий исполнения договора, предложенных участниками конкурентного отбора (Приложение №1 к Протоколу рассмотрения, оценки и сопоставления предложений на участие в конкурентном отборе от «</w:t>
      </w:r>
      <w:r>
        <w:rPr>
          <w:sz w:val="20"/>
          <w:szCs w:val="20"/>
          <w:lang w:val="en-US"/>
        </w:rPr>
        <w:t xml:space="preserve">26</w:t>
      </w:r>
      <w:r>
        <w:rPr>
          <w:sz w:val="20"/>
          <w:szCs w:val="20"/>
          <w:lang w:val="en-US"/>
        </w:rPr>
        <w:t xml:space="preserve">» </w:t>
      </w:r>
      <w:r>
        <w:rPr>
          <w:sz w:val="20"/>
          <w:szCs w:val="20"/>
          <w:lang w:val="en-US"/>
        </w:rPr>
        <w:t xml:space="preserve">февраля</w:t>
      </w:r>
      <w:r>
        <w:rPr>
          <w:sz w:val="20"/>
          <w:szCs w:val="20"/>
          <w:lang w:val="tt-RU"/>
        </w:rPr>
        <w:t xml:space="preserve"> </w:t>
      </w:r>
      <w:r>
        <w:rPr>
          <w:sz w:val="20"/>
          <w:szCs w:val="20"/>
          <w:lang w:val="en-US"/>
        </w:rPr>
        <w:t xml:space="preserve">20</w:t>
      </w:r>
      <w:r>
        <w:rPr>
          <w:sz w:val="20"/>
          <w:szCs w:val="20"/>
        </w:rPr>
        <w:t xml:space="preserve">2</w:t>
      </w:r>
      <w:r>
        <w:rPr>
          <w:sz w:val="20"/>
          <w:szCs w:val="20"/>
        </w:rPr>
        <w:t xml:space="preserve">6</w:t>
      </w:r>
      <w:r>
        <w:rPr>
          <w:sz w:val="20"/>
          <w:szCs w:val="20"/>
          <w:lang w:val="en-US"/>
        </w:rPr>
        <w:t xml:space="preserve"> года </w:t>
      </w:r>
      <w:r>
        <w:rPr>
          <w:sz w:val="20"/>
          <w:szCs w:val="20"/>
        </w:rPr>
        <w:br w:type="textWrapping" w:clear="all"/>
      </w:r>
      <w:r>
        <w:rPr>
          <w:sz w:val="20"/>
          <w:szCs w:val="20"/>
        </w:rPr>
        <w:t xml:space="preserve">№ </w:t>
      </w:r>
      <w:r>
        <w:rPr>
          <w:color w:val="000000"/>
          <w:sz w:val="20"/>
          <w:szCs w:val="20"/>
          <w:shd w:val="clear" w:color="auto" w:fill="ffffff"/>
          <w:lang w:val="en-US"/>
        </w:rPr>
        <w:t xml:space="preserve">0011326009DP</w:t>
      </w:r>
      <w:r>
        <w:rPr>
          <w:sz w:val="20"/>
          <w:szCs w:val="20"/>
        </w:rPr>
        <w:t xml:space="preserve">).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10</w:t>
      </w:r>
      <w:r>
        <w:rPr>
          <w:sz w:val="20"/>
          <w:szCs w:val="20"/>
          <w:highlight w:val="white"/>
          <w:lang w:val="en-US"/>
        </w:rPr>
        <w:t xml:space="preserve">. По результатам оценки и сопоставления предложений на участие в конкурентном отборе комиссия приняла решение: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10</w:t>
      </w:r>
      <w:r>
        <w:rPr>
          <w:sz w:val="20"/>
          <w:szCs w:val="20"/>
          <w:highlight w:val="white"/>
          <w:lang w:val="en-US"/>
        </w:rPr>
        <w:t xml:space="preserve">.1. Присвоить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 первый номер предложению на участие в конкурентном отборе и признать победителем конкурентного отбора</w:t>
      </w:r>
      <w:r>
        <w:rPr>
          <w:sz w:val="20"/>
          <w:szCs w:val="20"/>
          <w:highlight w:val="white"/>
          <w:shd w:val="clear" w:color="auto" w:fill="ffffff"/>
        </w:rPr>
        <w:br w:type="textWrapping" w:clear="all"/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№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color w:val="000000"/>
          <w:sz w:val="20"/>
          <w:szCs w:val="20"/>
          <w:highlight w:val="white"/>
          <w:shd w:val="clear" w:color="auto" w:fill="ffffff"/>
          <w:lang w:val="en-US"/>
        </w:rPr>
        <w:t xml:space="preserve">0011326009DP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18"/>
          <w:highlight w:val="white"/>
          <w:shd w:val="clear" w:color="auto" w:fill="ffffff"/>
        </w:rPr>
        <w:t xml:space="preserve">ООО «Ш2»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предложившего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лучшие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условия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исполнения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договора,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с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предложением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о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  <w:lang w:val="en-US"/>
        </w:rPr>
        <w:t xml:space="preserve">цене</w:t>
      </w:r>
      <w:r>
        <w:rPr>
          <w:sz w:val="20"/>
          <w:szCs w:val="20"/>
          <w:highlight w:val="white"/>
          <w:shd w:val="clear" w:color="auto" w:fill="ffffff"/>
        </w:rPr>
        <w:t xml:space="preserve"> </w:t>
      </w:r>
      <w:r>
        <w:rPr>
          <w:sz w:val="20"/>
          <w:szCs w:val="20"/>
          <w:highlight w:val="white"/>
          <w:shd w:val="clear" w:color="auto" w:fill="ffffff"/>
        </w:rPr>
        <w:t xml:space="preserve">113 500,0</w:t>
      </w:r>
      <w:r>
        <w:rPr>
          <w:sz w:val="20"/>
          <w:szCs w:val="20"/>
          <w:highlight w:val="white"/>
        </w:rPr>
        <w:t xml:space="preserve">0 </w:t>
      </w:r>
      <w:r>
        <w:rPr>
          <w:sz w:val="20"/>
          <w:szCs w:val="20"/>
          <w:highlight w:val="white"/>
          <w:lang w:val="tt-RU"/>
        </w:rPr>
        <w:t xml:space="preserve">руб.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10</w:t>
      </w:r>
      <w:r>
        <w:rPr>
          <w:sz w:val="20"/>
          <w:szCs w:val="20"/>
          <w:highlight w:val="white"/>
          <w:lang w:val="en-US"/>
        </w:rPr>
        <w:t xml:space="preserve">.2. Другому предложению на участие в конкурентном отборе № </w:t>
      </w:r>
      <w:r>
        <w:rPr>
          <w:color w:val="000000"/>
          <w:sz w:val="20"/>
          <w:szCs w:val="20"/>
          <w:highlight w:val="white"/>
          <w:shd w:val="clear" w:color="auto" w:fill="ffffff"/>
          <w:lang w:val="en-US"/>
        </w:rPr>
        <w:t xml:space="preserve">0011326009DP</w:t>
      </w:r>
      <w:r>
        <w:rPr>
          <w:sz w:val="20"/>
          <w:szCs w:val="20"/>
          <w:highlight w:val="white"/>
          <w:lang w:val="en-US"/>
        </w:rPr>
        <w:t xml:space="preserve"> присвоить порядков</w:t>
      </w:r>
      <w:r>
        <w:rPr>
          <w:sz w:val="20"/>
          <w:szCs w:val="20"/>
          <w:highlight w:val="white"/>
        </w:rPr>
        <w:t xml:space="preserve">ый</w:t>
      </w:r>
      <w:r>
        <w:rPr>
          <w:sz w:val="20"/>
          <w:szCs w:val="20"/>
          <w:highlight w:val="white"/>
          <w:lang w:val="en-US"/>
        </w:rPr>
        <w:t xml:space="preserve"> номер (по мере уменьшения степени выгодности содержащихся в предложени</w:t>
      </w:r>
      <w:r>
        <w:rPr>
          <w:sz w:val="20"/>
          <w:szCs w:val="20"/>
          <w:highlight w:val="white"/>
        </w:rPr>
        <w:t xml:space="preserve">и</w:t>
      </w:r>
      <w:r>
        <w:rPr>
          <w:sz w:val="20"/>
          <w:szCs w:val="20"/>
          <w:highlight w:val="white"/>
          <w:lang w:val="en-US"/>
        </w:rPr>
        <w:t xml:space="preserve"> условий исполнения договора):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  <w:shd w:val="clear" w:color="auto" w:fill="auto"/>
        </w:rPr>
        <w:t xml:space="preserve">2. ООО «ДАРТ Медиа»</w:t>
      </w:r>
      <w:r>
        <w:rPr>
          <w:sz w:val="20"/>
          <w:szCs w:val="20"/>
          <w:highlight w:val="white"/>
          <w:shd w:val="clear" w:color="auto" w:fill="auto"/>
        </w:rPr>
        <w:t xml:space="preserve">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26"/>
        <w:ind w:left="0" w:right="0" w:firstLine="142"/>
        <w:jc w:val="both"/>
        <w:widowControl w:val="off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11. Настоящий протокол подлежит размещению на электронной торговой площадке etpzakupki.tatar.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826"/>
        <w:ind w:left="0" w:right="0" w:firstLine="142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 xml:space="preserve">12. Подписи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6"/>
        <w:ind w:left="0" w:right="0" w:firstLine="14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132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097"/>
        <w:gridCol w:w="6862"/>
        <w:gridCol w:w="2361"/>
      </w:tblGrid>
      <w:tr>
        <w:tblPrEx/>
        <w:trPr>
          <w:trHeight w:val="682"/>
        </w:trPr>
        <w:tc>
          <w:tcPr>
            <w:tcW w:w="2097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редседател</w:t>
            </w:r>
            <w:r>
              <w:rPr>
                <w:sz w:val="16"/>
                <w:szCs w:val="16"/>
              </w:rPr>
              <w:t xml:space="preserve">ь</w:t>
            </w:r>
            <w:r>
              <w:rPr>
                <w:sz w:val="16"/>
                <w:szCs w:val="16"/>
              </w:rPr>
              <w:t xml:space="preserve"> комиссии: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62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М.С. Алмазова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С пунктами 8.1, 10.1, 10.2 согласен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61" w:type="dxa"/>
            <w:vAlign w:val="bottom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6"/>
        </w:trPr>
        <w:tc>
          <w:tcPr>
            <w:tcW w:w="2097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Члены комиссии: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62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специалист отдела методологического сопровождения закупок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Э.Р. Гаязова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10.1, 10.2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361" w:type="dxa"/>
            <w:vAlign w:val="bottom"/>
            <w:textDirection w:val="lrTb"/>
            <w:noWrap w:val="false"/>
          </w:tcPr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61"/>
        </w:trPr>
        <w:tc>
          <w:tcPr>
            <w:tcW w:w="2097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862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Г.Р. Юсупова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10.1, 10.2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361" w:type="dxa"/>
            <w:vAlign w:val="bottom"/>
            <w:textDirection w:val="lrTb"/>
            <w:noWrap w:val="false"/>
          </w:tcPr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699"/>
        </w:trPr>
        <w:tc>
          <w:tcPr>
            <w:tcW w:w="2097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6862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Р.Г. Чакалова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10.1, 10.2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361" w:type="dxa"/>
            <w:vAlign w:val="bottom"/>
            <w:textDirection w:val="lrTb"/>
            <w:noWrap w:val="false"/>
          </w:tcPr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jc w:val="center"/>
              <w:widowControl w:val="off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pStyle w:val="826"/>
              <w:jc w:val="center"/>
              <w:widowControl w:val="off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pStyle w:val="826"/>
              <w:jc w:val="center"/>
              <w:widowControl w:val="off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pStyle w:val="826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6"/>
        </w:trPr>
        <w:tc>
          <w:tcPr>
            <w:tcW w:w="2097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Секретарь комиссии: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62" w:type="dxa"/>
            <w:textDirection w:val="lrTb"/>
            <w:noWrap w:val="false"/>
          </w:tcPr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А.И. Гайнуллин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10.1, 10.2 согласен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361" w:type="dxa"/>
            <w:vAlign w:val="bottom"/>
            <w:textDirection w:val="lrTb"/>
            <w:noWrap w:val="false"/>
          </w:tcPr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ectPr>
          <w:footerReference w:type="default" r:id="rId9"/>
          <w:footnotePr/>
          <w:endnotePr/>
          <w:type w:val="nextPage"/>
          <w:pgSz w:w="11906" w:h="16838" w:orient="portrait"/>
          <w:pgMar w:top="284" w:right="360" w:bottom="284" w:left="360" w:header="0" w:footer="0" w:gutter="0"/>
          <w:cols w:num="1" w:sep="0" w:space="1701" w:equalWidth="1"/>
          <w:docGrid w:linePitch="360"/>
        </w:sectPr>
      </w:pPr>
      <w:r/>
      <w:r/>
    </w:p>
    <w:p>
      <w:pPr>
        <w:pStyle w:val="826"/>
        <w:ind w:left="0" w:right="0" w:firstLine="10440"/>
        <w:widowControl w:val="off"/>
        <w:tabs>
          <w:tab w:val="left" w:pos="0" w:leader="none"/>
          <w:tab w:val="clear" w:pos="708" w:leader="none"/>
        </w:tabs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826"/>
        <w:ind w:left="567" w:right="0" w:firstLine="0"/>
        <w:jc w:val="right"/>
        <w:widowControl w:val="off"/>
        <w:tabs>
          <w:tab w:val="left" w:pos="142" w:leader="none"/>
          <w:tab w:val="clear" w:pos="708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Приложение №1 к Протоколу рассмотрения, оценки и сопоставления предложений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26"/>
        <w:ind w:left="567" w:right="0" w:firstLine="0"/>
        <w:jc w:val="right"/>
        <w:widowControl w:val="off"/>
        <w:tabs>
          <w:tab w:val="left" w:pos="142" w:leader="none"/>
          <w:tab w:val="clear" w:pos="708" w:leader="none"/>
        </w:tabs>
      </w:pPr>
      <w:r>
        <w:rPr>
          <w:sz w:val="18"/>
          <w:szCs w:val="18"/>
        </w:rPr>
        <w:t xml:space="preserve">на участие в конкурентном отборе от «</w:t>
      </w:r>
      <w:r>
        <w:rPr>
          <w:sz w:val="18"/>
          <w:szCs w:val="18"/>
        </w:rPr>
        <w:t xml:space="preserve">26</w:t>
      </w:r>
      <w:r>
        <w:rPr>
          <w:sz w:val="18"/>
          <w:szCs w:val="18"/>
        </w:rPr>
        <w:t xml:space="preserve">» </w:t>
      </w:r>
      <w:r>
        <w:rPr>
          <w:sz w:val="18"/>
          <w:szCs w:val="18"/>
        </w:rPr>
        <w:t xml:space="preserve">февраля</w:t>
      </w:r>
      <w:r>
        <w:rPr>
          <w:sz w:val="18"/>
          <w:szCs w:val="18"/>
        </w:rPr>
        <w:t xml:space="preserve"> 202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 года № </w:t>
      </w:r>
      <w:r>
        <w:rPr>
          <w:sz w:val="18"/>
          <w:szCs w:val="18"/>
          <w:lang w:val="en-US"/>
        </w:rPr>
        <w:t xml:space="preserve">0011326009DP</w:t>
      </w:r>
      <w:r/>
    </w:p>
    <w:p>
      <w:pPr>
        <w:pStyle w:val="826"/>
        <w:ind w:left="567" w:right="0" w:firstLine="0"/>
        <w:jc w:val="right"/>
        <w:widowControl w:val="off"/>
        <w:tabs>
          <w:tab w:val="left" w:pos="142" w:leader="none"/>
          <w:tab w:val="clear" w:pos="708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pStyle w:val="826"/>
        <w:ind w:left="567" w:right="0" w:firstLine="0"/>
        <w:widowControl w:val="off"/>
        <w:tabs>
          <w:tab w:val="left" w:pos="142" w:leader="none"/>
          <w:tab w:val="clear" w:pos="708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p>
      <w:pPr>
        <w:pStyle w:val="826"/>
        <w:ind w:left="567" w:right="0" w:firstLine="0"/>
        <w:widowControl w:val="off"/>
        <w:tabs>
          <w:tab w:val="left" w:pos="142" w:leader="none"/>
          <w:tab w:val="clear" w:pos="708" w:leader="none"/>
        </w:tabs>
        <w:rPr>
          <w:b/>
          <w:sz w:val="18"/>
          <w:szCs w:val="18"/>
        </w:rPr>
      </w:pPr>
      <w:r>
        <w:rPr>
          <w:b/>
          <w:sz w:val="18"/>
          <w:szCs w:val="18"/>
        </w:rPr>
      </w:r>
      <w:r>
        <w:rPr>
          <w:b/>
          <w:sz w:val="18"/>
          <w:szCs w:val="18"/>
        </w:rPr>
      </w:r>
      <w:r>
        <w:rPr>
          <w:b/>
          <w:sz w:val="18"/>
          <w:szCs w:val="18"/>
        </w:rPr>
      </w:r>
    </w:p>
    <w:tbl>
      <w:tblPr>
        <w:tblW w:w="1591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688"/>
        <w:gridCol w:w="6310"/>
        <w:gridCol w:w="1904"/>
        <w:gridCol w:w="1555"/>
        <w:gridCol w:w="1904"/>
        <w:gridCol w:w="155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vAlign w:val="center"/>
            <w:vMerge w:val="restart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Наименование критериев оценки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0" w:type="dxa"/>
            <w:vAlign w:val="center"/>
            <w:vMerge w:val="restart"/>
            <w:textDirection w:val="lrTb"/>
            <w:noWrap w:val="false"/>
          </w:tcPr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Порядок оценки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9" w:type="dxa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  <w:tab w:val="left" w:pos="2614" w:leader="none"/>
              </w:tabs>
            </w:pPr>
            <w:r>
              <w:rPr>
                <w:sz w:val="16"/>
                <w:szCs w:val="16"/>
              </w:rPr>
              <w:t xml:space="preserve">Наименование участника закупки</w:t>
            </w:r>
            <w:r/>
          </w:p>
        </w:tc>
      </w:tr>
      <w:tr>
        <w:tblPrEx/>
        <w:trPr>
          <w:trHeight w:val="1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vAlign w:val="center"/>
            <w:vMerge w:val="continue"/>
            <w:textDirection w:val="lrTb"/>
            <w:noWrap w:val="false"/>
          </w:tcPr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0" w:type="dxa"/>
            <w:vAlign w:val="center"/>
            <w:vMerge w:val="continue"/>
            <w:textDirection w:val="lrTb"/>
            <w:noWrap w:val="false"/>
          </w:tcPr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9" w:type="dxa"/>
            <w:vAlign w:val="center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bCs/>
                <w:sz w:val="18"/>
                <w:szCs w:val="18"/>
                <w:lang w:val="ru-RU"/>
              </w:rPr>
              <w:t xml:space="preserve">ООО «Ш2»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0" w:type="dxa"/>
            <w:textDirection w:val="lrTb"/>
            <w:noWrap w:val="false"/>
          </w:tcPr>
          <w:p>
            <w:pPr>
              <w:pStyle w:val="826"/>
              <w:ind w:left="0" w:right="-108" w:firstLine="0"/>
              <w:jc w:val="center"/>
              <w:widowControl w:val="off"/>
            </w:pPr>
            <w:r>
              <w:rPr>
                <w:bCs/>
                <w:sz w:val="18"/>
                <w:szCs w:val="18"/>
              </w:rPr>
              <w:t xml:space="preserve">ООО «ДАРТ Медиа»</w:t>
            </w:r>
            <w:r/>
          </w:p>
        </w:tc>
      </w:tr>
      <w:tr>
        <w:tblPrEx/>
        <w:trPr>
          <w:trHeight w:val="6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vAlign w:val="center"/>
            <w:vMerge w:val="continue"/>
            <w:textDirection w:val="lrTb"/>
            <w:noWrap w:val="false"/>
          </w:tcPr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0" w:type="dxa"/>
            <w:vAlign w:val="center"/>
            <w:vMerge w:val="continue"/>
            <w:textDirection w:val="lrTb"/>
            <w:noWrap w:val="false"/>
          </w:tcPr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4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4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Условия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6"/>
                <w:szCs w:val="16"/>
              </w:rPr>
              <w:t xml:space="preserve">Кол-во баллов (с учетом показателя критерия)</w:t>
            </w:r>
            <w:r/>
          </w:p>
        </w:tc>
      </w:tr>
      <w:tr>
        <w:tblPrEx/>
        <w:trPr>
          <w:trHeight w:val="24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17" w:type="dxa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Квалификация участника закупки – </w:t>
            </w:r>
            <w:r>
              <w:rPr>
                <w:b/>
                <w:sz w:val="16"/>
                <w:szCs w:val="16"/>
              </w:rPr>
              <w:t xml:space="preserve">55</w:t>
            </w:r>
            <w:r>
              <w:rPr>
                <w:b/>
                <w:sz w:val="16"/>
                <w:szCs w:val="16"/>
              </w:rPr>
              <w:t xml:space="preserve">%</w:t>
            </w:r>
            <w:r/>
          </w:p>
        </w:tc>
      </w:tr>
      <w:tr>
        <w:tblPrEx/>
        <w:trPr>
          <w:trHeight w:val="21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before="120" w:after="0"/>
              <w:widowControl w:val="off"/>
              <w:tabs>
                <w:tab w:val="left" w:pos="0" w:leader="none"/>
                <w:tab w:val="clear" w:pos="708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Деловая репутация участника закупки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30"/>
              <w:jc w:val="center"/>
              <w:widowControl w:val="off"/>
              <w:tabs>
                <w:tab w:val="left" w:pos="0" w:leader="none"/>
                <w:tab w:val="clear" w:pos="708" w:leader="none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</w:r>
            <w:r>
              <w:rPr>
                <w:i/>
                <w:sz w:val="16"/>
                <w:szCs w:val="16"/>
              </w:rPr>
            </w:r>
            <w:r>
              <w:rPr>
                <w:i/>
                <w:sz w:val="16"/>
                <w:szCs w:val="16"/>
              </w:rPr>
            </w:r>
          </w:p>
          <w:p>
            <w:pPr>
              <w:pStyle w:val="930"/>
              <w:jc w:val="center"/>
              <w:spacing w:before="0" w:after="0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i/>
                <w:sz w:val="16"/>
                <w:szCs w:val="16"/>
              </w:rPr>
              <w:t xml:space="preserve">Коэффициент значимости показателя критерия - </w:t>
            </w:r>
            <w:r>
              <w:rPr>
                <w:i/>
                <w:sz w:val="16"/>
                <w:szCs w:val="16"/>
                <w:lang w:val="tt-RU"/>
              </w:rPr>
              <w:t xml:space="preserve">100</w:t>
            </w:r>
            <w:r>
              <w:rPr>
                <w:i/>
                <w:sz w:val="16"/>
                <w:szCs w:val="16"/>
              </w:rPr>
              <w:t xml:space="preserve">%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10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Наличие у участника закупки опыта оказания услуг по фото и видеосъемке и/или созданию видеофильмов и/или видеороликов: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- отсутствие договора(-ов), контракта(-ов) –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0 баллов;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- договор(-ы), контракт(-ы) на общую сумму до 1 млн. руб. – 25 баллов;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- договор(-ы), контракт(-ы) на общую сумму от 1 млн. руб. включительно до 2 млн.руб. – 50 баллов;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- договор(-ы), контракт(-ы) на общую сумму от 2 млн. руб. включительно до 3 млн.руб. – 75 баллов;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  <w:p>
            <w:pPr>
              <w:pStyle w:val="826"/>
              <w:jc w:val="center"/>
              <w:widowControl w:val="o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ru-RU" w:eastAsia="zh-CN" w:bidi="ar-SA"/>
              </w:rPr>
              <w:t xml:space="preserve">- договор(-ы), контракт(-ы) на общую сумму от 3 млн. руб. включительно и более – 100 баллов.</w:t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4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shd w:val="clear" w:color="auto" w:fill="ffffff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sz w:val="16"/>
                <w:szCs w:val="16"/>
                <w:lang w:val="tt-RU"/>
              </w:rPr>
              <w:t xml:space="preserve">Представлены </w:t>
            </w:r>
            <w:r>
              <w:rPr>
                <w:sz w:val="16"/>
                <w:szCs w:val="16"/>
                <w:lang w:val="tt-RU"/>
              </w:rPr>
              <w:t xml:space="preserve">договоры</w:t>
            </w:r>
            <w:r>
              <w:rPr>
                <w:sz w:val="16"/>
                <w:szCs w:val="16"/>
                <w:lang w:val="tt-RU"/>
              </w:rPr>
              <w:t xml:space="preserve"> на </w:t>
            </w:r>
            <w:r>
              <w:rPr>
                <w:sz w:val="16"/>
                <w:szCs w:val="16"/>
                <w:lang w:val="tt-RU"/>
              </w:rPr>
              <w:t xml:space="preserve">общую сумму свыше 3 млн. руб.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5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sz w:val="16"/>
                <w:szCs w:val="16"/>
                <w:lang w:val="tt-RU"/>
              </w:rPr>
              <w:t xml:space="preserve">100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04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shd w:val="clear" w:color="auto" w:fill="ffffff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sz w:val="16"/>
                <w:szCs w:val="16"/>
                <w:lang w:val="tt-RU"/>
              </w:rPr>
              <w:t xml:space="preserve">Представлены </w:t>
            </w:r>
            <w:r>
              <w:rPr>
                <w:sz w:val="16"/>
                <w:szCs w:val="16"/>
                <w:lang w:val="tt-RU"/>
              </w:rPr>
              <w:t xml:space="preserve">договоры</w:t>
            </w:r>
            <w:r>
              <w:rPr>
                <w:sz w:val="16"/>
                <w:szCs w:val="16"/>
                <w:lang w:val="tt-RU"/>
              </w:rPr>
              <w:t xml:space="preserve"> на </w:t>
            </w:r>
            <w:r>
              <w:rPr>
                <w:sz w:val="16"/>
                <w:szCs w:val="16"/>
                <w:lang w:val="tt-RU"/>
              </w:rPr>
              <w:t xml:space="preserve">общую сумму свыше 3 млн. руб.</w:t>
            </w:r>
            <w:r/>
            <w:r/>
            <w:r>
              <w:rPr>
                <w:sz w:val="16"/>
                <w:szCs w:val="16"/>
                <w:lang w:val="tt-RU"/>
              </w:rPr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shd w:val="clear" w:color="auto" w:fill="ffffff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sz w:val="16"/>
                <w:szCs w:val="16"/>
              </w:rPr>
              <w:t xml:space="preserve">100</w:t>
            </w:r>
            <w:r/>
          </w:p>
        </w:tc>
      </w:tr>
      <w:tr>
        <w:tblPrEx/>
        <w:trPr>
          <w:trHeight w:val="16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8" w:type="dxa"/>
            <w:vAlign w:val="center"/>
            <w:textDirection w:val="lrTb"/>
            <w:noWrap w:val="false"/>
          </w:tcPr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Рейтинг по критерию «Квалификация участника закупки»: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9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b/>
                <w:sz w:val="16"/>
                <w:szCs w:val="16"/>
                <w:lang w:val="tt-RU"/>
              </w:rPr>
              <w:t xml:space="preserve">55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0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b/>
                <w:sz w:val="16"/>
                <w:szCs w:val="16"/>
              </w:rPr>
              <w:t xml:space="preserve">55</w:t>
            </w:r>
            <w:r/>
          </w:p>
        </w:tc>
      </w:tr>
      <w:tr>
        <w:tblPrEx/>
        <w:trPr>
          <w:trHeight w:val="16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17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</w:pPr>
            <w:r>
              <w:rPr>
                <w:b/>
                <w:sz w:val="16"/>
                <w:szCs w:val="16"/>
              </w:rPr>
              <w:t xml:space="preserve">Цена за единицу – </w:t>
            </w:r>
            <w:r>
              <w:rPr>
                <w:b/>
                <w:sz w:val="16"/>
                <w:szCs w:val="16"/>
              </w:rPr>
              <w:t xml:space="preserve">45</w:t>
            </w:r>
            <w:r>
              <w:rPr>
                <w:b/>
                <w:sz w:val="16"/>
                <w:szCs w:val="16"/>
              </w:rPr>
              <w:t xml:space="preserve">%</w:t>
            </w:r>
            <w:r/>
          </w:p>
        </w:tc>
      </w:tr>
      <w:tr>
        <w:tblPrEx/>
        <w:trPr>
          <w:trHeight w:val="18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8" w:type="dxa"/>
            <w:vAlign w:val="center"/>
            <w:textDirection w:val="lrTb"/>
            <w:noWrap w:val="false"/>
          </w:tcPr>
          <w:p>
            <w:pPr>
              <w:pStyle w:val="826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color w:val="000000"/>
                <w:sz w:val="16"/>
                <w:szCs w:val="16"/>
              </w:rPr>
              <w:t xml:space="preserve">Цена за единицу, предлагаемая участником конкурентного отбора: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9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113 500,00</w:t>
            </w:r>
            <w:r>
              <w:rPr>
                <w:b/>
                <w:sz w:val="16"/>
                <w:szCs w:val="16"/>
              </w:rPr>
              <w:t xml:space="preserve"> руб.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0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115 500</w:t>
            </w:r>
            <w:r>
              <w:rPr>
                <w:b/>
                <w:sz w:val="16"/>
                <w:szCs w:val="16"/>
              </w:rPr>
              <w:t xml:space="preserve"> руб.</w:t>
            </w:r>
            <w:r/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8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Рейтинг по критерию «Цена за единицу</w:t>
            </w:r>
            <w:r>
              <w:rPr>
                <w:b/>
                <w:sz w:val="16"/>
                <w:szCs w:val="16"/>
              </w:rPr>
              <w:t xml:space="preserve">»: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9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45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0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44,22</w:t>
            </w:r>
            <w:r/>
          </w:p>
        </w:tc>
      </w:tr>
      <w:tr>
        <w:tblPrEx/>
        <w:trPr>
          <w:trHeight w:val="20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8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Итоговый рейтинг: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59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  <w:rPr>
                <w:b/>
                <w:bCs/>
                <w:sz w:val="16"/>
                <w:szCs w:val="16"/>
                <w14:ligatures w14:val="none"/>
              </w:rPr>
            </w:pPr>
            <w:r>
              <w:rPr>
                <w:b/>
                <w:bCs/>
                <w:sz w:val="16"/>
                <w:szCs w:val="16"/>
                <w14:ligatures w14:val="none"/>
              </w:rPr>
              <w:t xml:space="preserve">100</w:t>
            </w:r>
            <w:r>
              <w:rPr>
                <w:b/>
                <w:bCs/>
                <w:sz w:val="16"/>
                <w:szCs w:val="16"/>
                <w14:ligatures w14:val="none"/>
              </w:rPr>
            </w:r>
            <w:r>
              <w:rPr>
                <w:b/>
                <w:bCs/>
                <w:sz w:val="16"/>
                <w:szCs w:val="16"/>
                <w14:ligatures w14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60" w:type="dxa"/>
            <w:vAlign w:val="center"/>
            <w:textDirection w:val="lrTb"/>
            <w:noWrap w:val="false"/>
          </w:tcPr>
          <w:p>
            <w:pPr>
              <w:pStyle w:val="826"/>
              <w:jc w:val="center"/>
              <w:widowControl w:val="off"/>
              <w:tabs>
                <w:tab w:val="left" w:pos="0" w:leader="none"/>
                <w:tab w:val="clear" w:pos="708" w:leader="none"/>
              </w:tabs>
            </w:pPr>
            <w:r>
              <w:rPr>
                <w:b/>
                <w:sz w:val="16"/>
                <w:szCs w:val="16"/>
              </w:rPr>
              <w:t xml:space="preserve">99,22</w:t>
            </w:r>
            <w:r/>
          </w:p>
        </w:tc>
      </w:tr>
    </w:tbl>
    <w:p>
      <w:pPr>
        <w:pStyle w:val="826"/>
        <w:ind w:left="8931" w:right="0" w:firstLine="0"/>
        <w:jc w:val="center"/>
        <w:widowControl w:val="off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Style w:val="826"/>
        <w:ind w:left="0" w:right="0" w:firstLine="142"/>
        <w:jc w:val="both"/>
        <w:rPr>
          <w:sz w:val="2"/>
          <w:szCs w:val="2"/>
        </w:rPr>
      </w:pPr>
      <w:r>
        <w:rPr>
          <w:sz w:val="2"/>
          <w:szCs w:val="2"/>
        </w:rPr>
        <w:t xml:space="preserve"> </w:t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footerReference w:type="default" r:id="rId10"/>
      <w:footerReference w:type="even" r:id="rId11"/>
      <w:footerReference w:type="first" r:id="rId12"/>
      <w:footnotePr/>
      <w:endnotePr/>
      <w:type w:val="nextPage"/>
      <w:pgSz w:w="16838" w:h="11906" w:orient="landscape"/>
      <w:pgMar w:top="360" w:right="395" w:bottom="360" w:left="567" w:header="0" w:footer="131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DL">
    <w:panose1 w:val="02000603000000000000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PT Astra Serif">
    <w:panose1 w:val="020A0603040505020204"/>
  </w:font>
  <w:font w:name="Arial Unicode MS">
    <w:panose1 w:val="020B0506020203020204"/>
  </w:font>
  <w:font w:name="Arial">
    <w:panose1 w:val="020B0604020202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ind w:left="0" w:right="360" w:firstLine="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ind w:left="0" w:right="360" w:firstLine="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7"/>
      <w:ind w:left="0" w:right="360"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2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928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decimal"/>
      <w:pStyle w:val="934"/>
      <w:isLgl w:val="false"/>
      <w:suff w:val="tab"/>
      <w:lvlText w:val="%1."/>
      <w:lvlJc w:val="left"/>
      <w:pPr>
        <w:ind w:left="54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6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827">
    <w:name w:val="Heading 1"/>
    <w:basedOn w:val="826"/>
    <w:uiPriority w:val="9"/>
    <w:qFormat/>
    <w:pPr>
      <w:numPr>
        <w:ilvl w:val="0"/>
        <w:numId w:val="1"/>
      </w:numPr>
      <w:spacing w:before="280" w:after="280"/>
      <w:outlineLvl w:val="0"/>
    </w:pPr>
    <w:rPr>
      <w:rFonts w:ascii="Arial Unicode MS" w:hAnsi="Arial Unicode MS" w:eastAsia="Arial Unicode MS" w:cs="Arial Unicode MS"/>
      <w:b/>
      <w:bCs/>
      <w:color w:val="000000"/>
      <w:sz w:val="48"/>
      <w:szCs w:val="48"/>
      <w:lang w:val="en-US"/>
    </w:rPr>
  </w:style>
  <w:style w:type="paragraph" w:styleId="828">
    <w:name w:val="Heading 2"/>
    <w:basedOn w:val="82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29">
    <w:name w:val="Heading 3"/>
    <w:basedOn w:val="8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30">
    <w:name w:val="Heading 4"/>
    <w:basedOn w:val="8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31">
    <w:name w:val="Heading 5"/>
    <w:basedOn w:val="8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32">
    <w:name w:val="Heading 6"/>
    <w:basedOn w:val="8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33">
    <w:name w:val="Heading 7"/>
    <w:basedOn w:val="8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34">
    <w:name w:val="Heading 8"/>
    <w:basedOn w:val="8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35">
    <w:name w:val="Heading 9"/>
    <w:basedOn w:val="8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6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37">
    <w:name w:val="Heading 2 Char"/>
    <w:uiPriority w:val="9"/>
    <w:qFormat/>
    <w:rPr>
      <w:rFonts w:ascii="Arial" w:hAnsi="Arial" w:eastAsia="Arial" w:cs="Arial"/>
      <w:sz w:val="34"/>
    </w:rPr>
  </w:style>
  <w:style w:type="character" w:styleId="838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39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0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4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42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43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44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45">
    <w:name w:val="Title Char"/>
    <w:uiPriority w:val="10"/>
    <w:qFormat/>
    <w:rPr>
      <w:sz w:val="48"/>
      <w:szCs w:val="48"/>
    </w:rPr>
  </w:style>
  <w:style w:type="character" w:styleId="846">
    <w:name w:val="Subtitle Char"/>
    <w:uiPriority w:val="11"/>
    <w:qFormat/>
    <w:rPr>
      <w:sz w:val="24"/>
      <w:szCs w:val="24"/>
    </w:rPr>
  </w:style>
  <w:style w:type="character" w:styleId="847">
    <w:name w:val="Quote Char"/>
    <w:uiPriority w:val="29"/>
    <w:qFormat/>
    <w:rPr>
      <w:i/>
    </w:rPr>
  </w:style>
  <w:style w:type="character" w:styleId="848">
    <w:name w:val="Intense Quote Char"/>
    <w:uiPriority w:val="30"/>
    <w:qFormat/>
    <w:rPr>
      <w:i/>
    </w:rPr>
  </w:style>
  <w:style w:type="character" w:styleId="849">
    <w:name w:val="Header Char"/>
    <w:uiPriority w:val="99"/>
    <w:qFormat/>
  </w:style>
  <w:style w:type="character" w:styleId="850">
    <w:name w:val="Footer Char"/>
    <w:uiPriority w:val="99"/>
    <w:qFormat/>
  </w:style>
  <w:style w:type="character" w:styleId="851">
    <w:name w:val="Caption Char"/>
    <w:uiPriority w:val="99"/>
    <w:qFormat/>
  </w:style>
  <w:style w:type="character" w:styleId="852">
    <w:name w:val="Hyperlink"/>
    <w:uiPriority w:val="99"/>
    <w:unhideWhenUsed/>
    <w:rPr>
      <w:color w:val="0000ff"/>
      <w:u w:val="single"/>
    </w:rPr>
  </w:style>
  <w:style w:type="character" w:styleId="853">
    <w:name w:val="Footnote Text Char"/>
    <w:uiPriority w:val="99"/>
    <w:qFormat/>
    <w:rPr>
      <w:sz w:val="18"/>
    </w:rPr>
  </w:style>
  <w:style w:type="character" w:styleId="854">
    <w:name w:val="Символ сноски"/>
    <w:uiPriority w:val="99"/>
    <w:unhideWhenUsed/>
    <w:qFormat/>
    <w:rPr>
      <w:vertAlign w:val="superscript"/>
    </w:rPr>
  </w:style>
  <w:style w:type="character" w:styleId="855">
    <w:name w:val="footnote reference"/>
    <w:rPr>
      <w:vertAlign w:val="superscript"/>
    </w:rPr>
  </w:style>
  <w:style w:type="character" w:styleId="856">
    <w:name w:val="Endnote Text Char"/>
    <w:uiPriority w:val="99"/>
    <w:qFormat/>
    <w:rPr>
      <w:sz w:val="20"/>
    </w:rPr>
  </w:style>
  <w:style w:type="character" w:styleId="85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58">
    <w:name w:val="endnote reference"/>
    <w:rPr>
      <w:vertAlign w:val="superscript"/>
    </w:rPr>
  </w:style>
  <w:style w:type="character" w:styleId="859">
    <w:name w:val="WW8Num3z0"/>
    <w:qFormat/>
    <w:rPr>
      <w:b w:val="0"/>
    </w:rPr>
  </w:style>
  <w:style w:type="character" w:styleId="860">
    <w:name w:val="WW8Num4z0"/>
    <w:qFormat/>
  </w:style>
  <w:style w:type="character" w:styleId="861">
    <w:name w:val="WW8Num5z0"/>
    <w:qFormat/>
  </w:style>
  <w:style w:type="character" w:styleId="862">
    <w:name w:val="WW8Num6z0"/>
    <w:qFormat/>
  </w:style>
  <w:style w:type="character" w:styleId="863">
    <w:name w:val="WW8Num7z0"/>
    <w:qFormat/>
  </w:style>
  <w:style w:type="character" w:styleId="864">
    <w:name w:val="WW8Num8z0"/>
    <w:qFormat/>
  </w:style>
  <w:style w:type="character" w:styleId="865">
    <w:name w:val="WW8Num10z0"/>
    <w:qFormat/>
    <w:rPr>
      <w:rFonts w:ascii="Courier New" w:hAnsi="Courier New" w:cs="Courier New"/>
    </w:rPr>
  </w:style>
  <w:style w:type="character" w:styleId="866">
    <w:name w:val="WW8Num10z2"/>
    <w:qFormat/>
    <w:rPr>
      <w:rFonts w:ascii="Wingdings" w:hAnsi="Wingdings" w:cs="Wingdings"/>
    </w:rPr>
  </w:style>
  <w:style w:type="character" w:styleId="867">
    <w:name w:val="WW8Num10z3"/>
    <w:qFormat/>
    <w:rPr>
      <w:rFonts w:ascii="Symbol" w:hAnsi="Symbol" w:cs="Symbol"/>
    </w:rPr>
  </w:style>
  <w:style w:type="character" w:styleId="868">
    <w:name w:val="WW8Num11z0"/>
    <w:qFormat/>
    <w:rPr>
      <w:b/>
    </w:rPr>
  </w:style>
  <w:style w:type="character" w:styleId="869">
    <w:name w:val="WW8Num13z0"/>
    <w:qFormat/>
  </w:style>
  <w:style w:type="character" w:styleId="870">
    <w:name w:val="WW8Num14z0"/>
    <w:qFormat/>
    <w:rPr>
      <w:b w:val="0"/>
    </w:rPr>
  </w:style>
  <w:style w:type="character" w:styleId="871">
    <w:name w:val="WW8Num15z0"/>
    <w:qFormat/>
    <w:rPr>
      <w:b/>
    </w:rPr>
  </w:style>
  <w:style w:type="character" w:styleId="872">
    <w:name w:val="WW8Num16z0"/>
    <w:qFormat/>
  </w:style>
  <w:style w:type="character" w:styleId="873">
    <w:name w:val="WW8Num17z0"/>
    <w:qFormat/>
    <w:rPr>
      <w:b w:val="0"/>
    </w:rPr>
  </w:style>
  <w:style w:type="character" w:styleId="874">
    <w:name w:val="WW8Num19z0"/>
    <w:qFormat/>
  </w:style>
  <w:style w:type="character" w:styleId="875">
    <w:name w:val="WW8Num21z0"/>
    <w:qFormat/>
    <w:rPr>
      <w:b/>
      <w:sz w:val="24"/>
    </w:rPr>
  </w:style>
  <w:style w:type="character" w:styleId="876">
    <w:name w:val="WW8Num22z0"/>
    <w:qFormat/>
  </w:style>
  <w:style w:type="character" w:styleId="877">
    <w:name w:val="WW8Num23z0"/>
    <w:qFormat/>
  </w:style>
  <w:style w:type="character" w:styleId="878">
    <w:name w:val="WW8Num24z0"/>
    <w:qFormat/>
  </w:style>
  <w:style w:type="character" w:styleId="879">
    <w:name w:val="WW8Num26z0"/>
    <w:qFormat/>
  </w:style>
  <w:style w:type="character" w:styleId="880">
    <w:name w:val="WW8Num28z0"/>
    <w:qFormat/>
  </w:style>
  <w:style w:type="character" w:styleId="881">
    <w:name w:val="Основной шрифт абзаца"/>
    <w:qFormat/>
  </w:style>
  <w:style w:type="character" w:styleId="882">
    <w:name w:val="Page Number"/>
    <w:basedOn w:val="881"/>
  </w:style>
  <w:style w:type="character" w:styleId="883">
    <w:name w:val="Основной текст с отступом Знак"/>
    <w:qFormat/>
    <w:rPr>
      <w:color w:val="000000"/>
      <w:sz w:val="24"/>
      <w:szCs w:val="24"/>
    </w:rPr>
  </w:style>
  <w:style w:type="character" w:styleId="884">
    <w:name w:val="Обычный (веб) Знак"/>
    <w:qFormat/>
    <w:rPr>
      <w:sz w:val="24"/>
      <w:szCs w:val="24"/>
      <w:lang w:val="ru-RU" w:bidi="ar-SA"/>
    </w:rPr>
  </w:style>
  <w:style w:type="character" w:styleId="885">
    <w:name w:val="Знак примечания"/>
    <w:qFormat/>
    <w:rPr>
      <w:sz w:val="16"/>
    </w:rPr>
  </w:style>
  <w:style w:type="character" w:styleId="886">
    <w:name w:val="Заголовок 1 Знак"/>
    <w:qFormat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887">
    <w:name w:val="Сильный акцент"/>
    <w:qFormat/>
    <w:rPr>
      <w:b/>
      <w:bCs/>
    </w:rPr>
  </w:style>
  <w:style w:type="character" w:styleId="888">
    <w:name w:val="Название Знак"/>
    <w:qFormat/>
    <w:rPr>
      <w:color w:val="000000"/>
      <w:sz w:val="24"/>
      <w:szCs w:val="24"/>
    </w:rPr>
  </w:style>
  <w:style w:type="character" w:styleId="889">
    <w:name w:val="Body text (7)_"/>
    <w:qFormat/>
    <w:rPr>
      <w:shd w:val="clear" w:color="auto" w:fill="ffffff"/>
    </w:rPr>
  </w:style>
  <w:style w:type="character" w:styleId="890">
    <w:name w:val="Основной текст 2 Знак"/>
    <w:qFormat/>
    <w:rPr>
      <w:sz w:val="26"/>
      <w:szCs w:val="24"/>
    </w:rPr>
  </w:style>
  <w:style w:type="character" w:styleId="891">
    <w:name w:val="Основной текст с отступом 3 Знак"/>
    <w:qFormat/>
    <w:rPr>
      <w:b/>
      <w:bCs/>
      <w:sz w:val="26"/>
      <w:szCs w:val="24"/>
    </w:rPr>
  </w:style>
  <w:style w:type="character" w:styleId="892">
    <w:name w:val="Абзац списка Знак"/>
    <w:qFormat/>
    <w:rPr>
      <w:sz w:val="24"/>
      <w:szCs w:val="24"/>
    </w:rPr>
  </w:style>
  <w:style w:type="character" w:styleId="893" w:default="1">
    <w:name w:val="Default Paragraph Font"/>
    <w:uiPriority w:val="1"/>
    <w:semiHidden/>
    <w:unhideWhenUsed/>
    <w:qFormat/>
  </w:style>
  <w:style w:type="paragraph" w:styleId="894">
    <w:name w:val="Заголовок"/>
    <w:basedOn w:val="826"/>
    <w:next w:val="895"/>
    <w:qFormat/>
    <w:pPr>
      <w:spacing w:before="280" w:after="280"/>
    </w:pPr>
    <w:rPr>
      <w:color w:val="000000"/>
      <w:lang w:val="en-US"/>
    </w:rPr>
  </w:style>
  <w:style w:type="paragraph" w:styleId="895">
    <w:name w:val="Body Text"/>
    <w:basedOn w:val="826"/>
    <w:pPr>
      <w:jc w:val="both"/>
      <w:spacing w:before="120" w:after="120"/>
    </w:pPr>
    <w:rPr>
      <w:szCs w:val="20"/>
    </w:rPr>
  </w:style>
  <w:style w:type="paragraph" w:styleId="896">
    <w:name w:val="List"/>
    <w:basedOn w:val="895"/>
    <w:rPr>
      <w:rFonts w:ascii="PT Astra Serif" w:hAnsi="PT Astra Serif" w:cs="Noto Sans Devanagari"/>
    </w:rPr>
  </w:style>
  <w:style w:type="paragraph" w:styleId="897">
    <w:name w:val="Caption"/>
    <w:basedOn w:val="826"/>
    <w:link w:val="851"/>
    <w:uiPriority w:val="35"/>
    <w:semiHidden/>
    <w:unhideWhenUsed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98">
    <w:name w:val="Указатель"/>
    <w:basedOn w:val="826"/>
    <w:qFormat/>
    <w:pPr>
      <w:suppressLineNumbers/>
    </w:pPr>
    <w:rPr>
      <w:rFonts w:ascii="PT Astra Serif" w:hAnsi="PT Astra Serif" w:cs="Noto Sans Devanagari"/>
    </w:rPr>
  </w:style>
  <w:style w:type="paragraph" w:styleId="899">
    <w:name w:val="List Paragraph"/>
    <w:basedOn w:val="826"/>
    <w:uiPriority w:val="34"/>
    <w:qFormat/>
    <w:pPr>
      <w:contextualSpacing/>
      <w:ind w:left="720" w:firstLine="0"/>
      <w:spacing w:before="0" w:after="0"/>
    </w:pPr>
  </w:style>
  <w:style w:type="paragraph" w:styleId="90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hi-IN"/>
    </w:rPr>
  </w:style>
  <w:style w:type="paragraph" w:styleId="901">
    <w:name w:val="Title"/>
    <w:basedOn w:val="82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902">
    <w:name w:val="Subtitle"/>
    <w:basedOn w:val="826"/>
    <w:uiPriority w:val="11"/>
    <w:qFormat/>
    <w:pPr>
      <w:spacing w:before="200" w:after="200"/>
    </w:pPr>
    <w:rPr>
      <w:sz w:val="24"/>
      <w:szCs w:val="24"/>
    </w:rPr>
  </w:style>
  <w:style w:type="paragraph" w:styleId="903">
    <w:name w:val="Quote"/>
    <w:basedOn w:val="826"/>
    <w:uiPriority w:val="29"/>
    <w:qFormat/>
    <w:pPr>
      <w:ind w:left="720" w:right="720" w:firstLine="0"/>
    </w:pPr>
    <w:rPr>
      <w:i/>
    </w:rPr>
  </w:style>
  <w:style w:type="paragraph" w:styleId="904">
    <w:name w:val="Intense Quote"/>
    <w:basedOn w:val="826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905">
    <w:name w:val="Колонтитул"/>
    <w:basedOn w:val="826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906">
    <w:name w:val="Header"/>
    <w:basedOn w:val="826"/>
    <w:uiPriority w:val="99"/>
    <w:unhideWhenUsed/>
  </w:style>
  <w:style w:type="paragraph" w:styleId="907">
    <w:name w:val="Footer"/>
    <w:basedOn w:val="826"/>
    <w:uiPriority w:val="99"/>
    <w:unhideWhenUsed/>
  </w:style>
  <w:style w:type="paragraph" w:styleId="908">
    <w:name w:val="footnote text"/>
    <w:basedOn w:val="82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909">
    <w:name w:val="endnote text"/>
    <w:basedOn w:val="826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910">
    <w:name w:val="toc 1"/>
    <w:basedOn w:val="826"/>
    <w:uiPriority w:val="39"/>
    <w:unhideWhenUsed/>
    <w:pPr>
      <w:ind w:left="0" w:right="0" w:firstLine="0"/>
      <w:spacing w:before="0" w:after="57"/>
    </w:pPr>
  </w:style>
  <w:style w:type="paragraph" w:styleId="911">
    <w:name w:val="toc 2"/>
    <w:basedOn w:val="826"/>
    <w:uiPriority w:val="39"/>
    <w:unhideWhenUsed/>
    <w:pPr>
      <w:ind w:left="283" w:right="0" w:firstLine="0"/>
      <w:spacing w:before="0" w:after="57"/>
    </w:pPr>
  </w:style>
  <w:style w:type="paragraph" w:styleId="912">
    <w:name w:val="toc 3"/>
    <w:basedOn w:val="826"/>
    <w:uiPriority w:val="39"/>
    <w:unhideWhenUsed/>
    <w:pPr>
      <w:ind w:left="567" w:right="0" w:firstLine="0"/>
      <w:spacing w:before="0" w:after="57"/>
    </w:pPr>
  </w:style>
  <w:style w:type="paragraph" w:styleId="913">
    <w:name w:val="toc 4"/>
    <w:basedOn w:val="826"/>
    <w:uiPriority w:val="39"/>
    <w:unhideWhenUsed/>
    <w:pPr>
      <w:ind w:left="850" w:right="0" w:firstLine="0"/>
      <w:spacing w:before="0" w:after="57"/>
    </w:pPr>
  </w:style>
  <w:style w:type="paragraph" w:styleId="914">
    <w:name w:val="toc 5"/>
    <w:basedOn w:val="826"/>
    <w:uiPriority w:val="39"/>
    <w:unhideWhenUsed/>
    <w:pPr>
      <w:ind w:left="1134" w:right="0" w:firstLine="0"/>
      <w:spacing w:before="0" w:after="57"/>
    </w:pPr>
  </w:style>
  <w:style w:type="paragraph" w:styleId="915">
    <w:name w:val="toc 6"/>
    <w:basedOn w:val="826"/>
    <w:uiPriority w:val="39"/>
    <w:unhideWhenUsed/>
    <w:pPr>
      <w:ind w:left="1417" w:right="0" w:firstLine="0"/>
      <w:spacing w:before="0" w:after="57"/>
    </w:pPr>
  </w:style>
  <w:style w:type="paragraph" w:styleId="916">
    <w:name w:val="toc 7"/>
    <w:basedOn w:val="826"/>
    <w:uiPriority w:val="39"/>
    <w:unhideWhenUsed/>
    <w:pPr>
      <w:ind w:left="1701" w:right="0" w:firstLine="0"/>
      <w:spacing w:before="0" w:after="57"/>
    </w:pPr>
  </w:style>
  <w:style w:type="paragraph" w:styleId="917">
    <w:name w:val="toc 8"/>
    <w:basedOn w:val="826"/>
    <w:uiPriority w:val="39"/>
    <w:unhideWhenUsed/>
    <w:pPr>
      <w:ind w:left="1984" w:right="0" w:firstLine="0"/>
      <w:spacing w:before="0" w:after="57"/>
    </w:pPr>
  </w:style>
  <w:style w:type="paragraph" w:styleId="918">
    <w:name w:val="toc 9"/>
    <w:basedOn w:val="826"/>
    <w:uiPriority w:val="39"/>
    <w:unhideWhenUsed/>
    <w:pPr>
      <w:ind w:left="2268" w:right="0" w:firstLine="0"/>
      <w:spacing w:before="0" w:after="57"/>
    </w:pPr>
  </w:style>
  <w:style w:type="paragraph" w:styleId="919">
    <w:name w:val="Index Heading"/>
    <w:basedOn w:val="894"/>
  </w:style>
  <w:style w:type="paragraph" w:styleId="920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hi-IN"/>
    </w:rPr>
  </w:style>
  <w:style w:type="paragraph" w:styleId="921">
    <w:name w:val="table of figures"/>
    <w:basedOn w:val="826"/>
    <w:uiPriority w:val="99"/>
    <w:unhideWhenUsed/>
    <w:qFormat/>
    <w:pPr>
      <w:spacing w:before="0" w:after="0" w:afterAutospacing="0"/>
    </w:pPr>
  </w:style>
  <w:style w:type="paragraph" w:styleId="922">
    <w:name w:val="Стиль1"/>
    <w:basedOn w:val="826"/>
    <w:qFormat/>
    <w:pPr>
      <w:spacing w:line="288" w:lineRule="auto"/>
    </w:pPr>
    <w:rPr>
      <w:sz w:val="28"/>
      <w:szCs w:val="20"/>
    </w:rPr>
  </w:style>
  <w:style w:type="paragraph" w:styleId="923">
    <w:name w:val="Основной текст с отступом 2"/>
    <w:basedOn w:val="826"/>
    <w:qFormat/>
    <w:pPr>
      <w:ind w:left="0" w:right="0" w:firstLine="567"/>
      <w:jc w:val="both"/>
      <w:widowControl w:val="off"/>
    </w:pPr>
    <w:rPr>
      <w:sz w:val="28"/>
      <w:szCs w:val="28"/>
    </w:rPr>
  </w:style>
  <w:style w:type="paragraph" w:styleId="924">
    <w:name w:val="Body Text Indent"/>
    <w:basedOn w:val="826"/>
    <w:pPr>
      <w:spacing w:before="280" w:after="280"/>
    </w:pPr>
    <w:rPr>
      <w:color w:val="000000"/>
      <w:lang w:val="en-US"/>
    </w:rPr>
  </w:style>
  <w:style w:type="paragraph" w:styleId="925">
    <w:name w:val="Основной текст с отступом 3"/>
    <w:basedOn w:val="826"/>
    <w:qFormat/>
    <w:pPr>
      <w:ind w:left="0" w:right="0" w:firstLine="540"/>
    </w:pPr>
    <w:rPr>
      <w:b/>
      <w:bCs/>
      <w:sz w:val="26"/>
      <w:lang w:val="en-US"/>
    </w:rPr>
  </w:style>
  <w:style w:type="paragraph" w:styleId="926">
    <w:name w:val="Основной текст 2"/>
    <w:basedOn w:val="826"/>
    <w:qFormat/>
    <w:rPr>
      <w:sz w:val="26"/>
      <w:lang w:val="en-US"/>
    </w:rPr>
  </w:style>
  <w:style w:type="paragraph" w:styleId="927">
    <w:name w:val="Текст выноски"/>
    <w:basedOn w:val="826"/>
    <w:qFormat/>
    <w:rPr>
      <w:rFonts w:ascii="Tahoma" w:hAnsi="Tahoma" w:cs="Tahoma"/>
      <w:sz w:val="16"/>
      <w:szCs w:val="16"/>
    </w:rPr>
  </w:style>
  <w:style w:type="paragraph" w:styleId="928">
    <w:name w:val="List Number 2"/>
    <w:basedOn w:val="826"/>
    <w:pPr>
      <w:numPr>
        <w:ilvl w:val="0"/>
        <w:numId w:val="2"/>
      </w:numPr>
    </w:pPr>
  </w:style>
  <w:style w:type="paragraph" w:styleId="929">
    <w:name w:val="Стиль2"/>
    <w:basedOn w:val="928"/>
    <w:qFormat/>
    <w:pPr>
      <w:numPr>
        <w:ilvl w:val="0"/>
        <w:numId w:val="0"/>
      </w:numPr>
      <w:ind w:left="576" w:right="0" w:hanging="576"/>
      <w:jc w:val="both"/>
      <w:keepLines/>
      <w:keepNext/>
      <w:spacing w:before="120" w:after="0"/>
      <w:widowControl w:val="off"/>
      <w:suppressLineNumbers/>
    </w:pPr>
    <w:rPr>
      <w:b/>
      <w:szCs w:val="20"/>
    </w:rPr>
  </w:style>
  <w:style w:type="paragraph" w:styleId="930">
    <w:name w:val="Стиль3 Знак Знак"/>
    <w:basedOn w:val="923"/>
    <w:qFormat/>
    <w:pPr>
      <w:ind w:left="0" w:right="0" w:firstLine="0"/>
      <w:spacing w:before="120" w:after="0"/>
    </w:pPr>
    <w:rPr>
      <w:sz w:val="24"/>
      <w:szCs w:val="20"/>
    </w:rPr>
  </w:style>
  <w:style w:type="paragraph" w:styleId="931">
    <w:name w:val="Обычный (веб)"/>
    <w:basedOn w:val="826"/>
    <w:qFormat/>
    <w:pPr>
      <w:spacing w:before="280" w:after="280"/>
    </w:pPr>
  </w:style>
  <w:style w:type="paragraph" w:styleId="932">
    <w:name w:val="Знак"/>
    <w:basedOn w:val="826"/>
    <w:qFormat/>
    <w:pPr>
      <w:jc w:val="both"/>
      <w:spacing w:before="0" w:after="160" w:line="240" w:lineRule="exact"/>
    </w:pPr>
    <w:rPr>
      <w:szCs w:val="20"/>
      <w:lang w:val="en-US"/>
    </w:rPr>
  </w:style>
  <w:style w:type="paragraph" w:styleId="933">
    <w:name w:val="Подраздел"/>
    <w:basedOn w:val="826"/>
    <w:qFormat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34">
    <w:name w:val="Условия контракта"/>
    <w:basedOn w:val="826"/>
    <w:qFormat/>
    <w:pPr>
      <w:numPr>
        <w:ilvl w:val="0"/>
        <w:numId w:val="3"/>
      </w:numPr>
      <w:jc w:val="both"/>
      <w:spacing w:before="240" w:after="120"/>
    </w:pPr>
    <w:rPr>
      <w:b/>
      <w:szCs w:val="20"/>
    </w:rPr>
  </w:style>
  <w:style w:type="paragraph" w:styleId="935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936">
    <w:name w:val="xl22"/>
    <w:basedOn w:val="826"/>
    <w:qFormat/>
    <w:pPr>
      <w:jc w:val="center"/>
      <w:spacing w:before="280" w:after="280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paragraph" w:styleId="937">
    <w:name w:val="Абзац списка"/>
    <w:basedOn w:val="826"/>
    <w:qFormat/>
    <w:pPr>
      <w:contextualSpacing/>
      <w:ind w:left="720" w:right="0" w:firstLine="0"/>
      <w:spacing w:before="0" w:after="0"/>
    </w:pPr>
    <w:rPr>
      <w:lang w:val="en-US"/>
    </w:rPr>
  </w:style>
  <w:style w:type="paragraph" w:styleId="938">
    <w:name w:val="Body text (7)"/>
    <w:basedOn w:val="826"/>
    <w:qFormat/>
    <w:pPr>
      <w:spacing w:line="0" w:lineRule="atLeast"/>
      <w:shd w:val="clear" w:color="auto" w:fill="ffffff"/>
    </w:pPr>
    <w:rPr>
      <w:sz w:val="20"/>
      <w:szCs w:val="20"/>
      <w:lang w:val="en-US"/>
    </w:rPr>
  </w:style>
  <w:style w:type="paragraph" w:styleId="939">
    <w:name w:val="Содержимое таблицы"/>
    <w:basedOn w:val="826"/>
    <w:qFormat/>
    <w:pPr>
      <w:widowControl w:val="off"/>
      <w:suppressLineNumbers/>
    </w:pPr>
  </w:style>
  <w:style w:type="paragraph" w:styleId="940">
    <w:name w:val="Заголовок таблицы"/>
    <w:basedOn w:val="939"/>
    <w:qFormat/>
    <w:pPr>
      <w:jc w:val="center"/>
      <w:suppressLineNumbers/>
    </w:pPr>
    <w:rPr>
      <w:b/>
      <w:bCs/>
    </w:rPr>
  </w:style>
  <w:style w:type="paragraph" w:styleId="941" w:customStyle="1">
    <w:name w:val="Body Text Indent 3"/>
    <w:basedOn w:val="832"/>
    <w:qFormat/>
    <w:pPr>
      <w:ind w:left="0" w:right="0" w:firstLine="54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0" w:leader="none"/>
        <w:tab w:val="clear" w:pos="708" w:leader="none"/>
      </w:tabs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4"/>
      <w:u w:val="none"/>
      <w:vertAlign w:val="baseline"/>
      <w:lang w:val="ru-RU" w:eastAsia="ru-RU" w:bidi="ar-SA"/>
      <w14:ligatures w14:val="none"/>
    </w:rPr>
  </w:style>
  <w:style w:type="numbering" w:styleId="942" w:default="1">
    <w:name w:val="No List"/>
    <w:uiPriority w:val="99"/>
    <w:semiHidden/>
    <w:unhideWhenUsed/>
    <w:qFormat/>
  </w:style>
  <w:style w:type="table" w:styleId="94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dragon</dc:creator>
  <dc:description/>
  <dc:language>ru-RU</dc:language>
  <cp:lastModifiedBy>user</cp:lastModifiedBy>
  <cp:revision>52</cp:revision>
  <dcterms:created xsi:type="dcterms:W3CDTF">2022-06-20T08:47:00Z</dcterms:created>
  <dcterms:modified xsi:type="dcterms:W3CDTF">2026-02-26T09:42:39Z</dcterms:modified>
</cp:coreProperties>
</file>