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7513"/>
        <w:tabs>
          <w:tab w:val="left" w:pos="6379" w:leader="none"/>
        </w:tabs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УТВЕРЖДАЮ</w:t>
      </w:r>
      <w:r>
        <w:rPr>
          <w:rFonts w:eastAsia="Arial Unicode MS"/>
          <w:sz w:val="20"/>
          <w:szCs w:val="20"/>
        </w:rPr>
      </w:r>
      <w:r>
        <w:rPr>
          <w:rFonts w:eastAsia="Arial Unicode MS"/>
          <w:sz w:val="20"/>
          <w:szCs w:val="20"/>
        </w:rPr>
      </w:r>
    </w:p>
    <w:p>
      <w:pPr>
        <w:ind w:left="7513"/>
        <w:tabs>
          <w:tab w:val="left" w:pos="6379" w:leader="none"/>
        </w:tabs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Заместитель председателя </w:t>
      </w:r>
      <w:r>
        <w:rPr>
          <w:rFonts w:eastAsia="Arial Unicode MS"/>
          <w:sz w:val="20"/>
          <w:szCs w:val="20"/>
        </w:rPr>
      </w:r>
      <w:r>
        <w:rPr>
          <w:rFonts w:eastAsia="Arial Unicode MS"/>
          <w:sz w:val="20"/>
          <w:szCs w:val="20"/>
        </w:rPr>
      </w:r>
    </w:p>
    <w:p>
      <w:pPr>
        <w:ind w:left="7513"/>
        <w:tabs>
          <w:tab w:val="left" w:pos="6379" w:leader="none"/>
        </w:tabs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Государственного комитета </w:t>
      </w:r>
      <w:r>
        <w:rPr>
          <w:rFonts w:eastAsia="Arial Unicode MS"/>
          <w:sz w:val="20"/>
          <w:szCs w:val="20"/>
        </w:rPr>
      </w:r>
      <w:r>
        <w:rPr>
          <w:rFonts w:eastAsia="Arial Unicode MS"/>
          <w:sz w:val="20"/>
          <w:szCs w:val="20"/>
        </w:rPr>
      </w:r>
    </w:p>
    <w:p>
      <w:pPr>
        <w:ind w:left="7513"/>
        <w:tabs>
          <w:tab w:val="left" w:pos="6379" w:leader="none"/>
        </w:tabs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Республики Татарстан по закупкам</w:t>
      </w:r>
      <w:r>
        <w:rPr>
          <w:rFonts w:eastAsia="Arial Unicode MS"/>
          <w:sz w:val="20"/>
          <w:szCs w:val="20"/>
        </w:rPr>
      </w:r>
      <w:r>
        <w:rPr>
          <w:rFonts w:eastAsia="Arial Unicode MS"/>
          <w:sz w:val="20"/>
          <w:szCs w:val="20"/>
        </w:rPr>
      </w:r>
    </w:p>
    <w:p>
      <w:pPr>
        <w:ind w:left="7513"/>
        <w:tabs>
          <w:tab w:val="left" w:pos="6379" w:leader="none"/>
        </w:tabs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_____________/</w:t>
      </w:r>
      <w:r>
        <w:rPr>
          <w:rFonts w:eastAsia="Arial Unicode MS"/>
          <w:sz w:val="20"/>
          <w:szCs w:val="20"/>
        </w:rPr>
        <w:t xml:space="preserve">М.С. Алмазова</w:t>
      </w:r>
      <w:r>
        <w:rPr>
          <w:rFonts w:eastAsia="Arial Unicode MS"/>
          <w:sz w:val="20"/>
          <w:szCs w:val="20"/>
        </w:rPr>
        <w:t xml:space="preserve">/</w:t>
      </w:r>
      <w:r>
        <w:rPr>
          <w:rFonts w:eastAsia="Arial Unicode MS"/>
          <w:sz w:val="20"/>
          <w:szCs w:val="20"/>
        </w:rPr>
      </w:r>
      <w:r>
        <w:rPr>
          <w:rFonts w:eastAsia="Arial Unicode MS"/>
          <w:sz w:val="20"/>
          <w:szCs w:val="20"/>
        </w:rPr>
      </w:r>
    </w:p>
    <w:p>
      <w:pPr>
        <w:pStyle w:val="918"/>
        <w:jc w:val="left"/>
        <w:spacing w:before="0" w:beforeAutospacing="0" w:after="0" w:afterAutospacing="0"/>
        <w:widowControl w:val="off"/>
        <w:rPr>
          <w:color w:val="auto"/>
          <w:sz w:val="20"/>
          <w:szCs w:val="20"/>
        </w:rPr>
        <w:outlineLvl w:val="0"/>
      </w:pP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</w:p>
    <w:p>
      <w:pPr>
        <w:pStyle w:val="921"/>
        <w:ind w:firstLine="142"/>
        <w:jc w:val="center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Протокол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center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рассмотрения единственного предложения на участие в конкурентном отборе № </w:t>
      </w:r>
      <w:r>
        <w:rPr>
          <w:b w:val="0"/>
          <w:bCs w:val="0"/>
          <w:sz w:val="20"/>
          <w:szCs w:val="20"/>
        </w:rPr>
        <w:t xml:space="preserve">0011326015DP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г. Казань                                                                                                                                                                      «16» июня 2026 года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1. Наименование уполномоченного органа: Государственный комитет Республики Татарстан по закупкам.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2. Наименование заказчика: Автономная некоммерческая организация «Дирекция спортивных и социальных проектов».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3</w:t>
      </w:r>
      <w:r>
        <w:rPr>
          <w:b w:val="0"/>
          <w:bCs w:val="0"/>
          <w:sz w:val="20"/>
          <w:szCs w:val="20"/>
        </w:rPr>
        <w:t xml:space="preserve">. Наименование конкурентного отбора: </w:t>
      </w:r>
      <w:r>
        <w:rPr>
          <w:b w:val="0"/>
          <w:bCs w:val="0"/>
          <w:sz w:val="20"/>
          <w:szCs w:val="20"/>
        </w:rPr>
        <w:t xml:space="preserve">П</w:t>
      </w:r>
      <w:r>
        <w:rPr>
          <w:b w:val="0"/>
          <w:bCs w:val="0"/>
          <w:sz w:val="20"/>
          <w:szCs w:val="20"/>
        </w:rPr>
        <w:t xml:space="preserve">раво заключения договора на изготовление и поставку сувенирной продукции (национальное кондитерское изделие в брендированной упаковке) для участников Международного форума потребительской кооперации «Молодежь кооперации: объединяя ресурсы для развития отра</w:t>
      </w:r>
      <w:r>
        <w:rPr>
          <w:b w:val="0"/>
          <w:bCs w:val="0"/>
          <w:sz w:val="20"/>
          <w:szCs w:val="20"/>
        </w:rPr>
        <w:t xml:space="preserve">сли»</w:t>
      </w:r>
      <w:r>
        <w:rPr>
          <w:b w:val="0"/>
          <w:bCs w:val="0"/>
          <w:sz w:val="20"/>
          <w:szCs w:val="20"/>
        </w:rPr>
        <w:t xml:space="preserve">.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4. Начальная (максимальная) цена за единицу: 1 340,00 руб.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4.1. Общая цена договора: 804 000,00 руб.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</w:pPr>
      <w:r>
        <w:rPr>
          <w:b w:val="0"/>
          <w:bCs w:val="0"/>
          <w:sz w:val="20"/>
          <w:szCs w:val="20"/>
        </w:rPr>
        <w:t xml:space="preserve">5. Комиссия правомочна осуществлять свои функции, т.к. на заседании комиссии присутствует не менее чем пятьдесят процентов общего числа ее членов.</w:t>
      </w:r>
      <w:r>
        <w:rPr>
          <w:b w:val="0"/>
          <w:bCs w:val="0"/>
          <w:sz w:val="20"/>
          <w:szCs w:val="20"/>
        </w:rPr>
      </w:r>
      <w:r/>
    </w:p>
    <w:p>
      <w:pPr>
        <w:pStyle w:val="921"/>
        <w:ind w:firstLine="142"/>
        <w:jc w:val="both"/>
        <w:widowControl w:val="off"/>
        <w:tabs>
          <w:tab w:val="clear" w:pos="0" w:leader="none"/>
        </w:tabs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6</w:t>
      </w:r>
      <w:r>
        <w:rPr>
          <w:b w:val="0"/>
          <w:bCs w:val="0"/>
          <w:sz w:val="20"/>
          <w:szCs w:val="20"/>
        </w:rPr>
        <w:t xml:space="preserve">. Процедура рассмотрения, оценки и сопоставления предложений на участие в конкурентном отборе проводилась комиссией в период с 09 часов 00 минут «15» июня 2026 года до 14 часов 00 минут «16» июня 2026 года по адресу: Электронная Торговая Система Etpzak</w:t>
      </w:r>
      <w:r>
        <w:rPr>
          <w:b w:val="0"/>
          <w:bCs w:val="0"/>
          <w:sz w:val="20"/>
          <w:szCs w:val="20"/>
        </w:rPr>
        <w:t xml:space="preserve">upki.tatar http://etpzakupki.tatar.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921"/>
        <w:ind w:firstLine="142"/>
        <w:jc w:val="both"/>
        <w:widowControl w:val="off"/>
        <w:tabs>
          <w:tab w:val="clear" w:pos="0" w:leader="none"/>
        </w:tabs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7. </w:t>
      </w:r>
      <w:r>
        <w:rPr>
          <w:b w:val="0"/>
          <w:bCs w:val="0"/>
          <w:sz w:val="20"/>
          <w:szCs w:val="20"/>
        </w:rPr>
        <w:t xml:space="preserve">Для участия в конкурентном отборе было подано </w:t>
      </w:r>
      <w:r>
        <w:rPr>
          <w:b w:val="0"/>
          <w:bCs w:val="0"/>
          <w:sz w:val="20"/>
          <w:szCs w:val="20"/>
        </w:rPr>
        <w:t xml:space="preserve">1</w:t>
      </w:r>
      <w:r>
        <w:rPr>
          <w:b w:val="0"/>
          <w:bCs w:val="0"/>
          <w:sz w:val="20"/>
          <w:szCs w:val="20"/>
        </w:rPr>
        <w:t xml:space="preserve"> (</w:t>
      </w:r>
      <w:r>
        <w:rPr>
          <w:b w:val="0"/>
          <w:bCs w:val="0"/>
          <w:sz w:val="20"/>
          <w:szCs w:val="20"/>
        </w:rPr>
        <w:t xml:space="preserve">одно</w:t>
      </w:r>
      <w:r>
        <w:rPr>
          <w:b w:val="0"/>
          <w:bCs w:val="0"/>
          <w:sz w:val="20"/>
          <w:szCs w:val="20"/>
        </w:rPr>
        <w:t xml:space="preserve">) предложени</w:t>
      </w:r>
      <w:r>
        <w:rPr>
          <w:b w:val="0"/>
          <w:bCs w:val="0"/>
          <w:sz w:val="20"/>
          <w:szCs w:val="20"/>
        </w:rPr>
        <w:t xml:space="preserve">е: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tbl>
      <w:tblPr>
        <w:tblW w:w="1119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0"/>
        <w:gridCol w:w="6740"/>
      </w:tblGrid>
      <w:tr>
        <w:tblPrEx/>
        <w:trPr>
          <w:trHeight w:val="6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9"/>
              <w:spacing w:before="0" w:beforeAutospacing="0" w:after="0" w:afterAutospacing="0"/>
              <w:rPr>
                <w:color w:val="auto"/>
                <w:sz w:val="18"/>
                <w:szCs w:val="18"/>
              </w:rPr>
              <w:outlineLvl w:val="0"/>
            </w:pPr>
            <w:r>
              <w:rPr>
                <w:color w:val="auto"/>
                <w:sz w:val="18"/>
                <w:szCs w:val="18"/>
              </w:rPr>
              <w:t xml:space="preserve">№ п/п</w:t>
            </w:r>
            <w:r>
              <w:rPr>
                <w:color w:val="auto"/>
                <w:sz w:val="18"/>
                <w:szCs w:val="18"/>
              </w:rPr>
            </w: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750" w:type="dxa"/>
            <w:vAlign w:val="center"/>
            <w:textDirection w:val="lrTb"/>
            <w:noWrap w:val="false"/>
          </w:tcPr>
          <w:p>
            <w:pPr>
              <w:pStyle w:val="919"/>
              <w:ind w:firstLine="142"/>
              <w:jc w:val="center"/>
              <w:spacing w:before="0" w:beforeAutospacing="0" w:after="0" w:afterAutospacing="0"/>
              <w:rPr>
                <w:color w:val="auto"/>
                <w:sz w:val="18"/>
                <w:szCs w:val="18"/>
              </w:rPr>
              <w:outlineLvl w:val="0"/>
            </w:pPr>
            <w:r>
              <w:rPr>
                <w:color w:val="auto"/>
                <w:sz w:val="18"/>
                <w:szCs w:val="18"/>
              </w:rPr>
              <w:t xml:space="preserve">Номер заявки </w:t>
            </w:r>
            <w:r>
              <w:rPr>
                <w:color w:val="auto"/>
                <w:sz w:val="18"/>
                <w:szCs w:val="18"/>
              </w:rPr>
            </w: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6740" w:type="dxa"/>
            <w:vAlign w:val="center"/>
            <w:textDirection w:val="lrTb"/>
            <w:noWrap w:val="false"/>
          </w:tcPr>
          <w:p>
            <w:pPr>
              <w:pStyle w:val="919"/>
              <w:ind w:firstLine="142"/>
              <w:jc w:val="center"/>
              <w:spacing w:before="0" w:beforeAutospacing="0" w:after="0" w:afterAutospacing="0"/>
              <w:rPr>
                <w:color w:val="auto"/>
                <w:sz w:val="18"/>
                <w:szCs w:val="18"/>
              </w:rPr>
              <w:outlineLvl w:val="0"/>
            </w:pPr>
            <w:r>
              <w:rPr>
                <w:color w:val="auto"/>
                <w:sz w:val="18"/>
                <w:szCs w:val="18"/>
              </w:rPr>
              <w:t xml:space="preserve">Наименование участника </w:t>
            </w:r>
            <w:r>
              <w:rPr>
                <w:color w:val="auto"/>
                <w:sz w:val="18"/>
                <w:szCs w:val="18"/>
              </w:rPr>
            </w:r>
            <w:r>
              <w:rPr>
                <w:color w:val="auto"/>
                <w:sz w:val="18"/>
                <w:szCs w:val="18"/>
              </w:rPr>
            </w:r>
          </w:p>
        </w:tc>
      </w:tr>
      <w:tr>
        <w:tblPrEx/>
        <w:trPr>
          <w:trHeight w:val="6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21"/>
              <w:ind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1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tcW w:w="3750" w:type="dxa"/>
            <w:vAlign w:val="center"/>
            <w:textDirection w:val="lrTb"/>
            <w:noWrap w:val="false"/>
          </w:tcPr>
          <w:p>
            <w:pPr>
              <w:pStyle w:val="921"/>
              <w:ind w:left="0" w:right="0" w:firstLine="142"/>
              <w:jc w:val="center"/>
              <w:widowControl w:val="off"/>
              <w:tabs>
                <w:tab w:val="left" w:pos="0" w:leader="none"/>
                <w:tab w:val="left" w:pos="708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15920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tcW w:w="6740" w:type="dxa"/>
            <w:vAlign w:val="center"/>
            <w:textDirection w:val="lrTb"/>
            <w:noWrap w:val="false"/>
          </w:tcPr>
          <w:p>
            <w:pPr>
              <w:pStyle w:val="921"/>
              <w:ind w:left="0" w:right="0" w:firstLine="142"/>
              <w:jc w:val="center"/>
              <w:widowControl w:val="off"/>
              <w:tabs>
                <w:tab w:val="left" w:pos="0" w:leader="none"/>
                <w:tab w:val="left" w:pos="708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ООО «</w:t>
            </w:r>
            <w:r>
              <w:rPr>
                <w:b w:val="0"/>
                <w:bCs w:val="0"/>
                <w:sz w:val="18"/>
                <w:szCs w:val="18"/>
              </w:rPr>
              <w:t xml:space="preserve">КАЗАНСКИЙ ПРОИЗВОДСТВЕННЫЙ КОМБИНАТ</w:t>
            </w:r>
            <w:r>
              <w:rPr>
                <w:b w:val="0"/>
                <w:bCs w:val="0"/>
                <w:sz w:val="18"/>
                <w:szCs w:val="18"/>
              </w:rPr>
              <w:t xml:space="preserve">»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</w:tr>
    </w:tbl>
    <w:p>
      <w:pPr>
        <w:ind w:firstLine="142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8. Комиссия уполномоченного органа рассмотрела единственное предложение на участие в конкурентном отборе на соответствие требованиям и условиям, установленным в извещении конкурентного отбора, и приняла решение: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142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8.</w:t>
      </w:r>
      <w:r>
        <w:rPr>
          <w:sz w:val="20"/>
          <w:szCs w:val="20"/>
        </w:rPr>
        <w:t xml:space="preserve">1. Отклонить предложение единственного участника конкурентного отбора: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Style w:val="938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72"/>
        <w:gridCol w:w="2578"/>
        <w:gridCol w:w="6740"/>
      </w:tblGrid>
      <w:tr>
        <w:tblPrEx/>
        <w:trPr>
          <w:trHeight w:val="291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921"/>
              <w:ind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№ п/п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shd w:val="clear" w:color="auto" w:fill="auto"/>
            <w:tcW w:w="1172" w:type="dxa"/>
            <w:vAlign w:val="center"/>
            <w:textDirection w:val="lrTb"/>
            <w:noWrap w:val="false"/>
          </w:tcPr>
          <w:p>
            <w:pPr>
              <w:pStyle w:val="921"/>
              <w:ind w:left="-108" w:right="-108"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Номер заявки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shd w:val="clear" w:color="auto" w:fill="auto"/>
            <w:tcW w:w="2578" w:type="dxa"/>
            <w:vAlign w:val="center"/>
            <w:textDirection w:val="lrTb"/>
            <w:noWrap w:val="false"/>
          </w:tcPr>
          <w:p>
            <w:pPr>
              <w:pStyle w:val="921"/>
              <w:ind w:left="-108" w:right="-108"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Наименование участника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shd w:val="clear" w:color="auto" w:fill="auto"/>
            <w:tcW w:w="6740" w:type="dxa"/>
            <w:vAlign w:val="center"/>
            <w:textDirection w:val="lrTb"/>
            <w:noWrap w:val="false"/>
          </w:tcPr>
          <w:p>
            <w:pPr>
              <w:pStyle w:val="921"/>
              <w:ind w:right="-108"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Обоснование принятого решения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</w:tr>
      <w:tr>
        <w:tblPrEx/>
        <w:trPr>
          <w:trHeight w:val="291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921"/>
              <w:ind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1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shd w:val="clear" w:color="auto" w:fill="auto"/>
            <w:tcW w:w="1172" w:type="dxa"/>
            <w:vAlign w:val="center"/>
            <w:textDirection w:val="lrTb"/>
            <w:noWrap w:val="false"/>
          </w:tcPr>
          <w:p>
            <w:pPr>
              <w:pStyle w:val="921"/>
              <w:ind w:left="-108" w:right="-108"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  <w:t xml:space="preserve">15920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shd w:val="clear" w:color="auto" w:fill="auto"/>
            <w:tcW w:w="2578" w:type="dxa"/>
            <w:vAlign w:val="center"/>
            <w:textDirection w:val="lrTb"/>
            <w:noWrap w:val="false"/>
          </w:tcPr>
          <w:p>
            <w:pPr>
              <w:pStyle w:val="921"/>
              <w:ind w:left="0" w:right="0" w:firstLine="142"/>
              <w:jc w:val="center"/>
              <w:widowControl w:val="off"/>
              <w:tabs>
                <w:tab w:val="left" w:pos="0" w:leader="none"/>
                <w:tab w:val="left" w:pos="708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ООО «</w:t>
            </w:r>
            <w:r>
              <w:rPr>
                <w:b w:val="0"/>
                <w:bCs w:val="0"/>
                <w:sz w:val="18"/>
                <w:szCs w:val="18"/>
              </w:rPr>
              <w:t xml:space="preserve">КАЗАНСКИЙ ПРОИЗВОДСТВЕННЫЙ КОМБИНАТ</w:t>
            </w:r>
            <w:r>
              <w:rPr>
                <w:b w:val="0"/>
                <w:bCs w:val="0"/>
                <w:sz w:val="18"/>
                <w:szCs w:val="18"/>
              </w:rPr>
              <w:t xml:space="preserve">»</w:t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  <w:p>
            <w:pPr>
              <w:pStyle w:val="921"/>
              <w:ind w:left="-108" w:right="-108" w:firstLine="0"/>
              <w:jc w:val="center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</w:tc>
        <w:tc>
          <w:tcPr>
            <w:shd w:val="clear" w:color="auto" w:fill="auto"/>
            <w:tcW w:w="6740" w:type="dxa"/>
            <w:textDirection w:val="lrTb"/>
            <w:noWrap w:val="false"/>
          </w:tcPr>
          <w:p>
            <w:pPr>
              <w:pStyle w:val="921"/>
              <w:ind w:firstLine="317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lang w:val="tt-RU"/>
              </w:rPr>
            </w:r>
            <w:r>
              <w:rPr>
                <w:b w:val="0"/>
                <w:sz w:val="18"/>
                <w:szCs w:val="18"/>
                <w:lang w:val="tt-RU"/>
              </w:rPr>
              <w:t xml:space="preserve">В</w:t>
            </w:r>
            <w:r>
              <w:rPr>
                <w:b w:val="0"/>
                <w:sz w:val="18"/>
                <w:szCs w:val="18"/>
                <w:lang w:val="tt-RU"/>
              </w:rPr>
              <w:t xml:space="preserve"> соответствии с разделом IV документации конкурентного отбора комиссия рассматривает и отклоняет предложения участников конкурентного отбора в случаях, если в составе предложения участников конкурентного отбора не представлены требования, установленные в</w:t>
            </w:r>
            <w:r>
              <w:rPr>
                <w:b w:val="0"/>
                <w:sz w:val="18"/>
                <w:szCs w:val="18"/>
                <w:lang w:val="tt-RU"/>
              </w:rPr>
              <w:t xml:space="preserve"> извещении о проведении конкурентного отбора и закупочной документации.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ind w:firstLine="317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В техническом задании конкурентного отбора предусмотрена поставка товаров со следующими характеристиками: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numPr>
                <w:ilvl w:val="0"/>
                <w:numId w:val="23"/>
              </w:numPr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Национальное кондитерское изделие (Чак-чак) в брендированной упаковке: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Масса нетто: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 500 г;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ind w:left="709" w:firstLine="0"/>
              <w:jc w:val="both"/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Пищевая ценность (в 100 г): белки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 4,2 г, жиры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 41,1 г, углеводы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 59,0 г;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/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Энергетическая ценность (в 100 г):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 622,6 ккал / 2604,8 кДж;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Изделие состоит из отдельных шариков из теста (диаметром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 10 мм), равномерно залитых медово-сахарным сиропом;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Остаточный срок годности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 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120 дней на момент поставки.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ind w:left="709" w:firstLine="0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21"/>
              <w:numPr>
                <w:ilvl w:val="0"/>
                <w:numId w:val="23"/>
              </w:numPr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Национальное кондитерское изделие (Баурсак) в брендированной упаковке: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Масса нетто: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250 г;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Пищевая ценность (в 100 г): белки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4,9 г, жиры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31,4 г, углеводы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40,3 г;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/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Энергетическая ценность (в 100 г):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566,0 ккал / 2368,1 кДж;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Изделие состоит из отдельно обжаренных в масле палочек из теста (диаметром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3 см, длиной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более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7 см), равномерно залитых медово-сахарным сиропом;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</w:p>
          <w:p>
            <w:pPr>
              <w:pStyle w:val="921"/>
              <w:ind w:left="709" w:firstLine="0"/>
              <w:jc w:val="both"/>
              <w:tabs>
                <w:tab w:val="clear" w:pos="0" w:leader="none"/>
              </w:tabs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Остаточный срок годности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не менее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90 дней на момент поставки.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  <w14:ligatures w14:val="none"/>
              </w:rPr>
            </w:r>
          </w:p>
          <w:p>
            <w:pPr>
              <w:pStyle w:val="921"/>
              <w:ind w:firstLine="317"/>
              <w:jc w:val="both"/>
              <w:rPr>
                <w:b w:val="0"/>
                <w:bCs w:val="0"/>
                <w:sz w:val="18"/>
                <w:szCs w:val="18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В составе заявки участника закупки вышеуказанные характеристики товаров не представлены.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</w:p>
        </w:tc>
      </w:tr>
    </w:tbl>
    <w:p>
      <w:pPr>
        <w:ind w:firstLine="142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9</w:t>
      </w:r>
      <w:r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В связи с тем, что комиссией принято реш</w:t>
      </w:r>
      <w:r>
        <w:rPr>
          <w:sz w:val="20"/>
          <w:szCs w:val="20"/>
        </w:rPr>
        <w:t xml:space="preserve">ение об отклонении предложения </w:t>
      </w:r>
      <w:r>
        <w:rPr>
          <w:sz w:val="20"/>
          <w:szCs w:val="20"/>
        </w:rPr>
        <w:t xml:space="preserve">единственного участника конкурентного отбора, признать конкурентный отбор </w:t>
      </w:r>
      <w:r>
        <w:rPr>
          <w:sz w:val="20"/>
          <w:szCs w:val="20"/>
        </w:rPr>
        <w:t xml:space="preserve">№ </w:t>
      </w:r>
      <w:r>
        <w:rPr>
          <w:b w:val="0"/>
          <w:bCs w:val="0"/>
          <w:sz w:val="20"/>
          <w:szCs w:val="20"/>
        </w:rPr>
        <w:t xml:space="preserve">0011326015DP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несостоявшимся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  10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Настоящий протокол подлежит</w:t>
      </w:r>
      <w:r>
        <w:rPr>
          <w:sz w:val="20"/>
          <w:szCs w:val="20"/>
        </w:rPr>
        <w:t xml:space="preserve"> размещению на электронной торговой площадке </w:t>
      </w:r>
      <w:r>
        <w:rPr>
          <w:sz w:val="20"/>
          <w:szCs w:val="20"/>
        </w:rPr>
        <w:t xml:space="preserve">etpzakupki.tatar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11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Подписи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pPr w:horzAnchor="text" w:tblpXSpec="left" w:vertAnchor="text" w:tblpY="1" w:leftFromText="180" w:topFromText="0" w:rightFromText="180" w:bottomFromText="0"/>
        <w:tblW w:w="10890" w:type="dxa"/>
        <w:tblLayout w:type="fixed"/>
        <w:tblLook w:val="04A0" w:firstRow="1" w:lastRow="0" w:firstColumn="1" w:lastColumn="0" w:noHBand="0" w:noVBand="1"/>
      </w:tblPr>
      <w:tblGrid>
        <w:gridCol w:w="1951"/>
        <w:gridCol w:w="6669"/>
        <w:gridCol w:w="2270"/>
      </w:tblGrid>
      <w:tr>
        <w:tblPrEx/>
        <w:trPr>
          <w:trHeight w:val="707"/>
        </w:trPr>
        <w:tc>
          <w:tcPr>
            <w:tcW w:w="1951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</w:t>
            </w:r>
            <w:r>
              <w:rPr>
                <w:sz w:val="16"/>
                <w:szCs w:val="16"/>
              </w:rPr>
              <w:t xml:space="preserve">редседател</w:t>
            </w:r>
            <w:r>
              <w:rPr>
                <w:sz w:val="16"/>
                <w:szCs w:val="16"/>
              </w:rPr>
              <w:t xml:space="preserve">ь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Заместитель председателя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М.С. Алмазова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</w:t>
            </w:r>
            <w:r>
              <w:rPr>
                <w:sz w:val="16"/>
                <w:szCs w:val="16"/>
              </w:rPr>
              <w:t xml:space="preserve">8.1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9</w:t>
            </w:r>
            <w:r>
              <w:rPr>
                <w:sz w:val="16"/>
                <w:szCs w:val="16"/>
              </w:rPr>
              <w:t xml:space="preserve"> согласен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829"/>
        </w:trPr>
        <w:tc>
          <w:tcPr>
            <w:tcW w:w="1951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Члены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Функциональный менеджер финансового управления АНО «Дирекция спортивных и социальных проектов»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Р.Г. </w:t>
            </w:r>
            <w:r>
              <w:rPr>
                <w:sz w:val="16"/>
                <w:szCs w:val="16"/>
              </w:rPr>
              <w:t xml:space="preserve">Чакалова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</w:t>
            </w:r>
            <w:r>
              <w:rPr>
                <w:sz w:val="16"/>
                <w:szCs w:val="16"/>
              </w:rPr>
              <w:t xml:space="preserve"> согласен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40"/>
        </w:trPr>
        <w:tc>
          <w:tcPr>
            <w:tcW w:w="1951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Ведущий с</w:t>
            </w:r>
            <w:r>
              <w:rPr>
                <w:sz w:val="16"/>
                <w:szCs w:val="16"/>
              </w:rPr>
              <w:t xml:space="preserve">пециалист</w:t>
            </w:r>
            <w:r>
              <w:rPr>
                <w:sz w:val="16"/>
                <w:szCs w:val="16"/>
              </w:rPr>
              <w:t xml:space="preserve"> отдела методологического сопровождения закупок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Э.Р. Гаязова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</w:t>
            </w:r>
            <w:r>
              <w:rPr>
                <w:sz w:val="16"/>
                <w:szCs w:val="16"/>
              </w:rPr>
              <w:t xml:space="preserve"> согласен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Ведущий специалист Государственного ко</w:t>
            </w:r>
            <w:r>
              <w:rPr>
                <w:sz w:val="16"/>
                <w:szCs w:val="18"/>
              </w:rPr>
              <w:t xml:space="preserve">митета Республики Татарстан по закупкам</w:t>
            </w: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</w:p>
          <w:p>
            <w:pPr>
              <w:widowControl w:val="off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Г.Р. Юсупова</w:t>
            </w: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</w:t>
            </w:r>
            <w:r>
              <w:rPr>
                <w:sz w:val="16"/>
                <w:szCs w:val="16"/>
              </w:rPr>
              <w:t xml:space="preserve"> согласен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Ведущий специалист Государственного ко</w:t>
            </w:r>
            <w:bookmarkStart w:id="0" w:name="_GoBack"/>
            <w:r/>
            <w:bookmarkEnd w:id="0"/>
            <w:r>
              <w:rPr>
                <w:sz w:val="16"/>
                <w:szCs w:val="18"/>
              </w:rPr>
              <w:t xml:space="preserve">митета Республики Татарстан по закупкам</w:t>
            </w: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</w:p>
          <w:p>
            <w:pPr>
              <w:widowControl w:val="off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А.И. </w:t>
            </w:r>
            <w:r>
              <w:rPr>
                <w:sz w:val="16"/>
                <w:szCs w:val="18"/>
              </w:rPr>
              <w:t xml:space="preserve">Гайнуллин</w:t>
            </w: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</w:t>
            </w:r>
            <w:r>
              <w:rPr>
                <w:sz w:val="16"/>
                <w:szCs w:val="16"/>
              </w:rPr>
              <w:t xml:space="preserve"> согласен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  <w:r>
              <w:rPr>
                <w:sz w:val="16"/>
                <w:szCs w:val="18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Секретарь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911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Заместитель начальника отдела анализа и обеспечения централизованных закупок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1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Р.Р. Мухамедзянова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</w:t>
            </w:r>
            <w:r>
              <w:rPr>
                <w:sz w:val="16"/>
                <w:szCs w:val="16"/>
              </w:rPr>
              <w:t xml:space="preserve"> согласе</w:t>
            </w:r>
            <w:r>
              <w:rPr>
                <w:sz w:val="16"/>
                <w:szCs w:val="16"/>
              </w:rPr>
              <w:t xml:space="preserve">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567" w:right="360" w:bottom="395" w:left="360" w:header="346" w:footer="131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DL">
    <w:panose1 w:val="02000603000000000000"/>
  </w:font>
  <w:font w:name="Tahoma">
    <w:panose1 w:val="020B0604030504040204"/>
  </w:font>
  <w:font w:name="Arial Unicode MS">
    <w:panose1 w:val="020B0606020202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3"/>
      <w:rPr>
        <w:rStyle w:val="924"/>
        <w:sz w:val="16"/>
        <w:szCs w:val="16"/>
      </w:rPr>
      <w:framePr w:h="253" w:wrap="around" w:vAnchor="text" w:hAnchor="margin" w:xAlign="right" w:y="202" w:hRule="exact"/>
    </w:pPr>
    <w:r>
      <w:rPr>
        <w:sz w:val="16"/>
        <w:szCs w:val="16"/>
      </w:rPr>
    </w:r>
    <w:r>
      <w:rPr>
        <w:rStyle w:val="924"/>
        <w:sz w:val="16"/>
        <w:szCs w:val="16"/>
      </w:rPr>
    </w:r>
    <w:r>
      <w:rPr>
        <w:rStyle w:val="924"/>
        <w:sz w:val="16"/>
        <w:szCs w:val="16"/>
      </w:rPr>
    </w:r>
  </w:p>
  <w:p>
    <w:pPr>
      <w:pStyle w:val="923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3"/>
      <w:rPr>
        <w:rStyle w:val="924"/>
      </w:rPr>
      <w:framePr w:wrap="around" w:vAnchor="text" w:hAnchor="margin" w:xAlign="right" w:y="1"/>
    </w:pPr>
    <w:r>
      <w:rPr>
        <w:rStyle w:val="924"/>
      </w:rPr>
      <w:fldChar w:fldCharType="begin"/>
    </w:r>
    <w:r>
      <w:rPr>
        <w:rStyle w:val="924"/>
      </w:rPr>
      <w:instrText xml:space="preserve">PAGE  </w:instrText>
    </w:r>
    <w:r>
      <w:rPr>
        <w:rStyle w:val="924"/>
      </w:rPr>
      <w:fldChar w:fldCharType="end"/>
    </w:r>
    <w:r>
      <w:rPr>
        <w:rStyle w:val="924"/>
      </w:rPr>
    </w:r>
    <w:r>
      <w:rPr>
        <w:rStyle w:val="924"/>
      </w:rPr>
    </w:r>
  </w:p>
  <w:p>
    <w:pPr>
      <w:pStyle w:val="923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28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12" w:hanging="360"/>
        <w:tabs>
          <w:tab w:val="num" w:pos="81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532" w:hanging="360"/>
        <w:tabs>
          <w:tab w:val="num" w:pos="153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252" w:hanging="180"/>
        <w:tabs>
          <w:tab w:val="num" w:pos="225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72" w:hanging="360"/>
        <w:tabs>
          <w:tab w:val="num" w:pos="297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92" w:hanging="360"/>
        <w:tabs>
          <w:tab w:val="num" w:pos="369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412" w:hanging="180"/>
        <w:tabs>
          <w:tab w:val="num" w:pos="441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132" w:hanging="360"/>
        <w:tabs>
          <w:tab w:val="num" w:pos="513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852" w:hanging="360"/>
        <w:tabs>
          <w:tab w:val="num" w:pos="585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72" w:hanging="180"/>
        <w:tabs>
          <w:tab w:val="num" w:pos="6572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rFonts w:hint="default"/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pStyle w:val="933"/>
      <w:isLgl w:val="false"/>
      <w:suff w:val="tab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92" w:hanging="360"/>
        <w:tabs>
          <w:tab w:val="num" w:pos="169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412" w:hanging="180"/>
        <w:tabs>
          <w:tab w:val="num" w:pos="241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132" w:hanging="360"/>
        <w:tabs>
          <w:tab w:val="num" w:pos="313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52" w:hanging="360"/>
        <w:tabs>
          <w:tab w:val="num" w:pos="385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72" w:hanging="180"/>
        <w:tabs>
          <w:tab w:val="num" w:pos="457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92" w:hanging="360"/>
        <w:tabs>
          <w:tab w:val="num" w:pos="529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012" w:hanging="360"/>
        <w:tabs>
          <w:tab w:val="num" w:pos="601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732" w:hanging="180"/>
        <w:tabs>
          <w:tab w:val="num" w:pos="6732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2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4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6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8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0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2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4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6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86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9"/>
  </w:num>
  <w:num w:numId="2">
    <w:abstractNumId w:val="11"/>
  </w:num>
  <w:num w:numId="3">
    <w:abstractNumId w:val="17"/>
  </w:num>
  <w:num w:numId="4">
    <w:abstractNumId w:val="7"/>
  </w:num>
  <w:num w:numId="5">
    <w:abstractNumId w:val="5"/>
  </w:num>
  <w:num w:numId="6">
    <w:abstractNumId w:val="1"/>
  </w:num>
  <w:num w:numId="7">
    <w:abstractNumId w:val="12"/>
  </w:num>
  <w:num w:numId="8">
    <w:abstractNumId w:val="18"/>
  </w:num>
  <w:num w:numId="9">
    <w:abstractNumId w:val="10"/>
  </w:num>
  <w:num w:numId="10">
    <w:abstractNumId w:val="20"/>
  </w:num>
  <w:num w:numId="11">
    <w:abstractNumId w:val="2"/>
  </w:num>
  <w:num w:numId="12">
    <w:abstractNumId w:val="16"/>
  </w:num>
  <w:num w:numId="13">
    <w:abstractNumId w:val="8"/>
  </w:num>
  <w:num w:numId="14">
    <w:abstractNumId w:val="13"/>
  </w:num>
  <w:num w:numId="15">
    <w:abstractNumId w:val="6"/>
  </w:num>
  <w:num w:numId="16">
    <w:abstractNumId w:val="9"/>
  </w:num>
  <w:num w:numId="17">
    <w:abstractNumId w:val="4"/>
  </w:num>
  <w:num w:numId="18">
    <w:abstractNumId w:val="3"/>
  </w:num>
  <w:num w:numId="19">
    <w:abstractNumId w:val="0"/>
  </w:num>
  <w:num w:numId="20">
    <w:abstractNumId w:val="15"/>
  </w:num>
  <w:num w:numId="21">
    <w:abstractNumId w:val="14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0">
    <w:name w:val="Heading 1 Char"/>
    <w:basedOn w:val="913"/>
    <w:link w:val="912"/>
    <w:uiPriority w:val="9"/>
    <w:rPr>
      <w:rFonts w:ascii="Arial" w:hAnsi="Arial" w:eastAsia="Arial" w:cs="Arial"/>
      <w:sz w:val="40"/>
      <w:szCs w:val="40"/>
    </w:rPr>
  </w:style>
  <w:style w:type="paragraph" w:styleId="741">
    <w:name w:val="Heading 2"/>
    <w:basedOn w:val="911"/>
    <w:next w:val="911"/>
    <w:link w:val="74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2">
    <w:name w:val="Heading 2 Char"/>
    <w:basedOn w:val="913"/>
    <w:link w:val="741"/>
    <w:uiPriority w:val="9"/>
    <w:rPr>
      <w:rFonts w:ascii="Arial" w:hAnsi="Arial" w:eastAsia="Arial" w:cs="Arial"/>
      <w:sz w:val="34"/>
    </w:rPr>
  </w:style>
  <w:style w:type="paragraph" w:styleId="743">
    <w:name w:val="Heading 3"/>
    <w:basedOn w:val="911"/>
    <w:next w:val="911"/>
    <w:link w:val="74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4">
    <w:name w:val="Heading 3 Char"/>
    <w:basedOn w:val="913"/>
    <w:link w:val="743"/>
    <w:uiPriority w:val="9"/>
    <w:rPr>
      <w:rFonts w:ascii="Arial" w:hAnsi="Arial" w:eastAsia="Arial" w:cs="Arial"/>
      <w:sz w:val="30"/>
      <w:szCs w:val="30"/>
    </w:rPr>
  </w:style>
  <w:style w:type="paragraph" w:styleId="745">
    <w:name w:val="Heading 4"/>
    <w:basedOn w:val="911"/>
    <w:next w:val="911"/>
    <w:link w:val="74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46">
    <w:name w:val="Heading 4 Char"/>
    <w:basedOn w:val="913"/>
    <w:link w:val="745"/>
    <w:uiPriority w:val="9"/>
    <w:rPr>
      <w:rFonts w:ascii="Arial" w:hAnsi="Arial" w:eastAsia="Arial" w:cs="Arial"/>
      <w:b/>
      <w:bCs/>
      <w:sz w:val="26"/>
      <w:szCs w:val="26"/>
    </w:rPr>
  </w:style>
  <w:style w:type="paragraph" w:styleId="747">
    <w:name w:val="Heading 5"/>
    <w:basedOn w:val="911"/>
    <w:next w:val="911"/>
    <w:link w:val="74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48">
    <w:name w:val="Heading 5 Char"/>
    <w:basedOn w:val="913"/>
    <w:link w:val="747"/>
    <w:uiPriority w:val="9"/>
    <w:rPr>
      <w:rFonts w:ascii="Arial" w:hAnsi="Arial" w:eastAsia="Arial" w:cs="Arial"/>
      <w:b/>
      <w:bCs/>
      <w:sz w:val="24"/>
      <w:szCs w:val="24"/>
    </w:rPr>
  </w:style>
  <w:style w:type="paragraph" w:styleId="749">
    <w:name w:val="Heading 6"/>
    <w:basedOn w:val="911"/>
    <w:next w:val="911"/>
    <w:link w:val="75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0">
    <w:name w:val="Heading 6 Char"/>
    <w:basedOn w:val="913"/>
    <w:link w:val="749"/>
    <w:uiPriority w:val="9"/>
    <w:rPr>
      <w:rFonts w:ascii="Arial" w:hAnsi="Arial" w:eastAsia="Arial" w:cs="Arial"/>
      <w:b/>
      <w:bCs/>
      <w:sz w:val="22"/>
      <w:szCs w:val="22"/>
    </w:rPr>
  </w:style>
  <w:style w:type="paragraph" w:styleId="751">
    <w:name w:val="Heading 7"/>
    <w:basedOn w:val="911"/>
    <w:next w:val="911"/>
    <w:link w:val="75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2">
    <w:name w:val="Heading 7 Char"/>
    <w:basedOn w:val="913"/>
    <w:link w:val="75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3">
    <w:name w:val="Heading 8"/>
    <w:basedOn w:val="911"/>
    <w:next w:val="911"/>
    <w:link w:val="7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4">
    <w:name w:val="Heading 8 Char"/>
    <w:basedOn w:val="913"/>
    <w:link w:val="753"/>
    <w:uiPriority w:val="9"/>
    <w:rPr>
      <w:rFonts w:ascii="Arial" w:hAnsi="Arial" w:eastAsia="Arial" w:cs="Arial"/>
      <w:i/>
      <w:iCs/>
      <w:sz w:val="22"/>
      <w:szCs w:val="22"/>
    </w:rPr>
  </w:style>
  <w:style w:type="paragraph" w:styleId="755">
    <w:name w:val="Heading 9"/>
    <w:basedOn w:val="911"/>
    <w:next w:val="911"/>
    <w:link w:val="75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6">
    <w:name w:val="Heading 9 Char"/>
    <w:basedOn w:val="913"/>
    <w:link w:val="755"/>
    <w:uiPriority w:val="9"/>
    <w:rPr>
      <w:rFonts w:ascii="Arial" w:hAnsi="Arial" w:eastAsia="Arial" w:cs="Arial"/>
      <w:i/>
      <w:iCs/>
      <w:sz w:val="21"/>
      <w:szCs w:val="21"/>
    </w:rPr>
  </w:style>
  <w:style w:type="paragraph" w:styleId="757">
    <w:name w:val="No Spacing"/>
    <w:uiPriority w:val="1"/>
    <w:qFormat/>
    <w:pPr>
      <w:spacing w:before="0" w:after="0" w:line="240" w:lineRule="auto"/>
    </w:pPr>
  </w:style>
  <w:style w:type="character" w:styleId="758">
    <w:name w:val="Title Char"/>
    <w:basedOn w:val="913"/>
    <w:link w:val="918"/>
    <w:uiPriority w:val="10"/>
    <w:rPr>
      <w:sz w:val="48"/>
      <w:szCs w:val="48"/>
    </w:rPr>
  </w:style>
  <w:style w:type="paragraph" w:styleId="759">
    <w:name w:val="Subtitle"/>
    <w:basedOn w:val="911"/>
    <w:next w:val="911"/>
    <w:link w:val="760"/>
    <w:uiPriority w:val="11"/>
    <w:qFormat/>
    <w:pPr>
      <w:spacing w:before="200" w:after="200"/>
    </w:pPr>
    <w:rPr>
      <w:sz w:val="24"/>
      <w:szCs w:val="24"/>
    </w:rPr>
  </w:style>
  <w:style w:type="character" w:styleId="760">
    <w:name w:val="Subtitle Char"/>
    <w:basedOn w:val="913"/>
    <w:link w:val="759"/>
    <w:uiPriority w:val="11"/>
    <w:rPr>
      <w:sz w:val="24"/>
      <w:szCs w:val="24"/>
    </w:rPr>
  </w:style>
  <w:style w:type="paragraph" w:styleId="761">
    <w:name w:val="Quote"/>
    <w:basedOn w:val="911"/>
    <w:next w:val="911"/>
    <w:link w:val="762"/>
    <w:uiPriority w:val="29"/>
    <w:qFormat/>
    <w:pPr>
      <w:ind w:left="720" w:right="720"/>
    </w:pPr>
    <w:rPr>
      <w:i/>
    </w:rPr>
  </w:style>
  <w:style w:type="character" w:styleId="762">
    <w:name w:val="Quote Char"/>
    <w:link w:val="761"/>
    <w:uiPriority w:val="29"/>
    <w:rPr>
      <w:i/>
    </w:rPr>
  </w:style>
  <w:style w:type="paragraph" w:styleId="763">
    <w:name w:val="Intense Quote"/>
    <w:basedOn w:val="911"/>
    <w:next w:val="911"/>
    <w:link w:val="76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4">
    <w:name w:val="Intense Quote Char"/>
    <w:link w:val="763"/>
    <w:uiPriority w:val="30"/>
    <w:rPr>
      <w:i/>
    </w:rPr>
  </w:style>
  <w:style w:type="character" w:styleId="765">
    <w:name w:val="Header Char"/>
    <w:basedOn w:val="913"/>
    <w:link w:val="931"/>
    <w:uiPriority w:val="99"/>
  </w:style>
  <w:style w:type="character" w:styleId="766">
    <w:name w:val="Footer Char"/>
    <w:basedOn w:val="913"/>
    <w:link w:val="923"/>
    <w:uiPriority w:val="99"/>
  </w:style>
  <w:style w:type="paragraph" w:styleId="767">
    <w:name w:val="Caption"/>
    <w:basedOn w:val="911"/>
    <w:next w:val="91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8">
    <w:name w:val="Caption Char"/>
    <w:basedOn w:val="767"/>
    <w:link w:val="923"/>
    <w:uiPriority w:val="99"/>
  </w:style>
  <w:style w:type="table" w:styleId="769">
    <w:name w:val="Table Grid Light"/>
    <w:basedOn w:val="9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>
    <w:name w:val="Plain Table 1"/>
    <w:basedOn w:val="9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1">
    <w:name w:val="Plain Table 2"/>
    <w:basedOn w:val="9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>
    <w:name w:val="Plain Table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3">
    <w:name w:val="Plain Table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Plain Table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5">
    <w:name w:val="Grid Table 1 Light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1 Light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1 Light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1 Light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2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2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2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3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4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7">
    <w:name w:val="Grid Table 4 - Accent 1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8">
    <w:name w:val="Grid Table 4 - Accent 2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9">
    <w:name w:val="Grid Table 4 - Accent 3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0">
    <w:name w:val="Grid Table 4 - Accent 4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1">
    <w:name w:val="Grid Table 4 - Accent 5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2">
    <w:name w:val="Grid Table 4 - Accent 6"/>
    <w:basedOn w:val="9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3">
    <w:name w:val="Grid Table 5 Dark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4">
    <w:name w:val="Grid Table 5 Dark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5">
    <w:name w:val="Grid Table 5 Dark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6">
    <w:name w:val="Grid Table 5 Dark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7">
    <w:name w:val="Grid Table 5 Dark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8">
    <w:name w:val="Grid Table 5 Dark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0">
    <w:name w:val="Grid Table 6 Colorful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1">
    <w:name w:val="Grid Table 6 Colorful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2">
    <w:name w:val="Grid Table 6 Colorful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3">
    <w:name w:val="Grid Table 6 Colorful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4">
    <w:name w:val="Grid Table 6 Colorful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5">
    <w:name w:val="Grid Table 6 Colorful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6">
    <w:name w:val="Grid Table 6 Colorful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7">
    <w:name w:val="Grid Table 7 Colorful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7 Colorful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7 Colorful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7 Colorful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1 Light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2">
    <w:name w:val="List Table 2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3">
    <w:name w:val="List Table 2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4">
    <w:name w:val="List Table 2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5">
    <w:name w:val="List Table 2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6">
    <w:name w:val="List Table 2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7">
    <w:name w:val="List Table 2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8">
    <w:name w:val="List Table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3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3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3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4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5 Dark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3">
    <w:name w:val="List Table 5 Dark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4">
    <w:name w:val="List Table 5 Dark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5">
    <w:name w:val="List Table 5 Dark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6">
    <w:name w:val="List Table 5 Dark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5 Dark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6 Colorful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0">
    <w:name w:val="List Table 6 Colorful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1">
    <w:name w:val="List Table 6 Colorful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2">
    <w:name w:val="List Table 6 Colorful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3">
    <w:name w:val="List Table 6 Colorful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4">
    <w:name w:val="List Table 6 Colorful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5">
    <w:name w:val="List Table 6 Colorful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6">
    <w:name w:val="List Table 7 Colorful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7">
    <w:name w:val="List Table 7 Colorful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8">
    <w:name w:val="List Table 7 Colorful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9">
    <w:name w:val="List Table 7 Colorful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0">
    <w:name w:val="List Table 7 Colorful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1">
    <w:name w:val="List Table 7 Colorful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2">
    <w:name w:val="List Table 7 Colorful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3">
    <w:name w:val="Lined - Accent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4">
    <w:name w:val="Lined - Accent 1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5">
    <w:name w:val="Lined - Accent 2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6">
    <w:name w:val="Lined - Accent 3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7">
    <w:name w:val="Lined - Accent 4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8">
    <w:name w:val="Lined - Accent 5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9">
    <w:name w:val="Lined - Accent 6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0">
    <w:name w:val="Bordered &amp; Lined - Accent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1">
    <w:name w:val="Bordered &amp; Lined - Accent 1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2">
    <w:name w:val="Bordered &amp; Lined - Accent 2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3">
    <w:name w:val="Bordered &amp; Lined - Accent 3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4">
    <w:name w:val="Bordered &amp; Lined - Accent 4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5">
    <w:name w:val="Bordered &amp; Lined - Accent 5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6">
    <w:name w:val="Bordered &amp; Lined - Accent 6"/>
    <w:basedOn w:val="9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7">
    <w:name w:val="Bordered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8">
    <w:name w:val="Bordered - Accent 1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9">
    <w:name w:val="Bordered - Accent 2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0">
    <w:name w:val="Bordered - Accent 3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1">
    <w:name w:val="Bordered - Accent 4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2">
    <w:name w:val="Bordered - Accent 5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3">
    <w:name w:val="Bordered - Accent 6"/>
    <w:basedOn w:val="9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94">
    <w:name w:val="footnote text"/>
    <w:basedOn w:val="911"/>
    <w:link w:val="895"/>
    <w:uiPriority w:val="99"/>
    <w:semiHidden/>
    <w:unhideWhenUsed/>
    <w:pPr>
      <w:spacing w:after="40" w:line="240" w:lineRule="auto"/>
    </w:pPr>
    <w:rPr>
      <w:sz w:val="18"/>
    </w:rPr>
  </w:style>
  <w:style w:type="character" w:styleId="895">
    <w:name w:val="Footnote Text Char"/>
    <w:link w:val="894"/>
    <w:uiPriority w:val="99"/>
    <w:rPr>
      <w:sz w:val="18"/>
    </w:rPr>
  </w:style>
  <w:style w:type="character" w:styleId="896">
    <w:name w:val="footnote reference"/>
    <w:basedOn w:val="913"/>
    <w:uiPriority w:val="99"/>
    <w:unhideWhenUsed/>
    <w:rPr>
      <w:vertAlign w:val="superscript"/>
    </w:rPr>
  </w:style>
  <w:style w:type="paragraph" w:styleId="897">
    <w:name w:val="endnote text"/>
    <w:basedOn w:val="911"/>
    <w:link w:val="898"/>
    <w:uiPriority w:val="99"/>
    <w:semiHidden/>
    <w:unhideWhenUsed/>
    <w:pPr>
      <w:spacing w:after="0" w:line="240" w:lineRule="auto"/>
    </w:pPr>
    <w:rPr>
      <w:sz w:val="20"/>
    </w:rPr>
  </w:style>
  <w:style w:type="character" w:styleId="898">
    <w:name w:val="Endnote Text Char"/>
    <w:link w:val="897"/>
    <w:uiPriority w:val="99"/>
    <w:rPr>
      <w:sz w:val="20"/>
    </w:rPr>
  </w:style>
  <w:style w:type="character" w:styleId="899">
    <w:name w:val="endnote reference"/>
    <w:basedOn w:val="913"/>
    <w:uiPriority w:val="99"/>
    <w:semiHidden/>
    <w:unhideWhenUsed/>
    <w:rPr>
      <w:vertAlign w:val="superscript"/>
    </w:rPr>
  </w:style>
  <w:style w:type="paragraph" w:styleId="900">
    <w:name w:val="toc 1"/>
    <w:basedOn w:val="911"/>
    <w:next w:val="911"/>
    <w:uiPriority w:val="39"/>
    <w:unhideWhenUsed/>
    <w:pPr>
      <w:ind w:left="0" w:right="0" w:firstLine="0"/>
      <w:spacing w:after="57"/>
    </w:pPr>
  </w:style>
  <w:style w:type="paragraph" w:styleId="901">
    <w:name w:val="toc 2"/>
    <w:basedOn w:val="911"/>
    <w:next w:val="911"/>
    <w:uiPriority w:val="39"/>
    <w:unhideWhenUsed/>
    <w:pPr>
      <w:ind w:left="283" w:right="0" w:firstLine="0"/>
      <w:spacing w:after="57"/>
    </w:pPr>
  </w:style>
  <w:style w:type="paragraph" w:styleId="902">
    <w:name w:val="toc 3"/>
    <w:basedOn w:val="911"/>
    <w:next w:val="911"/>
    <w:uiPriority w:val="39"/>
    <w:unhideWhenUsed/>
    <w:pPr>
      <w:ind w:left="567" w:right="0" w:firstLine="0"/>
      <w:spacing w:after="57"/>
    </w:pPr>
  </w:style>
  <w:style w:type="paragraph" w:styleId="903">
    <w:name w:val="toc 4"/>
    <w:basedOn w:val="911"/>
    <w:next w:val="911"/>
    <w:uiPriority w:val="39"/>
    <w:unhideWhenUsed/>
    <w:pPr>
      <w:ind w:left="850" w:right="0" w:firstLine="0"/>
      <w:spacing w:after="57"/>
    </w:pPr>
  </w:style>
  <w:style w:type="paragraph" w:styleId="904">
    <w:name w:val="toc 5"/>
    <w:basedOn w:val="911"/>
    <w:next w:val="911"/>
    <w:uiPriority w:val="39"/>
    <w:unhideWhenUsed/>
    <w:pPr>
      <w:ind w:left="1134" w:right="0" w:firstLine="0"/>
      <w:spacing w:after="57"/>
    </w:pPr>
  </w:style>
  <w:style w:type="paragraph" w:styleId="905">
    <w:name w:val="toc 6"/>
    <w:basedOn w:val="911"/>
    <w:next w:val="911"/>
    <w:uiPriority w:val="39"/>
    <w:unhideWhenUsed/>
    <w:pPr>
      <w:ind w:left="1417" w:right="0" w:firstLine="0"/>
      <w:spacing w:after="57"/>
    </w:pPr>
  </w:style>
  <w:style w:type="paragraph" w:styleId="906">
    <w:name w:val="toc 7"/>
    <w:basedOn w:val="911"/>
    <w:next w:val="911"/>
    <w:uiPriority w:val="39"/>
    <w:unhideWhenUsed/>
    <w:pPr>
      <w:ind w:left="1701" w:right="0" w:firstLine="0"/>
      <w:spacing w:after="57"/>
    </w:pPr>
  </w:style>
  <w:style w:type="paragraph" w:styleId="907">
    <w:name w:val="toc 8"/>
    <w:basedOn w:val="911"/>
    <w:next w:val="911"/>
    <w:uiPriority w:val="39"/>
    <w:unhideWhenUsed/>
    <w:pPr>
      <w:ind w:left="1984" w:right="0" w:firstLine="0"/>
      <w:spacing w:after="57"/>
    </w:pPr>
  </w:style>
  <w:style w:type="paragraph" w:styleId="908">
    <w:name w:val="toc 9"/>
    <w:basedOn w:val="911"/>
    <w:next w:val="911"/>
    <w:uiPriority w:val="39"/>
    <w:unhideWhenUsed/>
    <w:pPr>
      <w:ind w:left="2268" w:right="0" w:firstLine="0"/>
      <w:spacing w:after="57"/>
    </w:pPr>
  </w:style>
  <w:style w:type="paragraph" w:styleId="909">
    <w:name w:val="TOC Heading"/>
    <w:uiPriority w:val="39"/>
    <w:unhideWhenUsed/>
  </w:style>
  <w:style w:type="paragraph" w:styleId="910">
    <w:name w:val="table of figures"/>
    <w:basedOn w:val="911"/>
    <w:next w:val="911"/>
    <w:uiPriority w:val="99"/>
    <w:unhideWhenUsed/>
    <w:pPr>
      <w:spacing w:after="0" w:afterAutospacing="0"/>
    </w:pPr>
  </w:style>
  <w:style w:type="paragraph" w:styleId="911" w:default="1">
    <w:name w:val="Normal"/>
    <w:qFormat/>
    <w:rPr>
      <w:sz w:val="24"/>
      <w:szCs w:val="24"/>
    </w:rPr>
  </w:style>
  <w:style w:type="paragraph" w:styleId="912">
    <w:name w:val="Heading 1"/>
    <w:basedOn w:val="911"/>
    <w:link w:val="941"/>
    <w:qFormat/>
    <w:pPr>
      <w:spacing w:before="100" w:beforeAutospacing="1" w:after="100" w:afterAutospacing="1"/>
      <w:outlineLvl w:val="0"/>
    </w:pPr>
    <w:rPr>
      <w:rFonts w:ascii="Arial Unicode MS" w:hAnsi="Arial Unicode MS" w:eastAsia="Arial Unicode MS" w:cs="Arial Unicode MS"/>
      <w:b/>
      <w:bCs/>
      <w:color w:val="000000"/>
      <w:sz w:val="48"/>
      <w:szCs w:val="48"/>
    </w:rPr>
  </w:style>
  <w:style w:type="character" w:styleId="913" w:default="1">
    <w:name w:val="Default Paragraph Font"/>
    <w:uiPriority w:val="1"/>
    <w:semiHidden/>
    <w:unhideWhenUsed/>
  </w:style>
  <w:style w:type="table" w:styleId="9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5" w:default="1">
    <w:name w:val="No List"/>
    <w:uiPriority w:val="99"/>
    <w:semiHidden/>
    <w:unhideWhenUsed/>
  </w:style>
  <w:style w:type="paragraph" w:styleId="916" w:customStyle="1">
    <w:name w:val="Стиль1"/>
    <w:basedOn w:val="911"/>
    <w:pPr>
      <w:spacing w:line="288" w:lineRule="auto"/>
    </w:pPr>
    <w:rPr>
      <w:sz w:val="28"/>
      <w:szCs w:val="20"/>
    </w:rPr>
  </w:style>
  <w:style w:type="paragraph" w:styleId="917">
    <w:name w:val="Body Text Indent 2"/>
    <w:basedOn w:val="911"/>
    <w:pPr>
      <w:ind w:firstLine="567"/>
      <w:jc w:val="both"/>
      <w:widowControl w:val="off"/>
    </w:pPr>
    <w:rPr>
      <w:sz w:val="28"/>
      <w:szCs w:val="28"/>
    </w:rPr>
  </w:style>
  <w:style w:type="paragraph" w:styleId="918">
    <w:name w:val="Title"/>
    <w:basedOn w:val="911"/>
    <w:link w:val="942"/>
    <w:qFormat/>
    <w:pPr>
      <w:spacing w:before="100" w:beforeAutospacing="1" w:after="100" w:afterAutospacing="1"/>
    </w:pPr>
    <w:rPr>
      <w:color w:val="000000"/>
    </w:rPr>
  </w:style>
  <w:style w:type="paragraph" w:styleId="919">
    <w:name w:val="Body Text Indent"/>
    <w:basedOn w:val="911"/>
    <w:link w:val="937"/>
    <w:pPr>
      <w:spacing w:before="100" w:beforeAutospacing="1" w:after="100" w:afterAutospacing="1"/>
    </w:pPr>
    <w:rPr>
      <w:color w:val="000000"/>
    </w:rPr>
  </w:style>
  <w:style w:type="paragraph" w:styleId="920">
    <w:name w:val="Body Text"/>
    <w:basedOn w:val="911"/>
    <w:pPr>
      <w:jc w:val="both"/>
      <w:spacing w:before="120" w:after="120"/>
    </w:pPr>
    <w:rPr>
      <w:szCs w:val="20"/>
    </w:rPr>
  </w:style>
  <w:style w:type="paragraph" w:styleId="921">
    <w:name w:val="Body Text Indent 3"/>
    <w:basedOn w:val="911"/>
    <w:link w:val="944"/>
    <w:pPr>
      <w:ind w:firstLine="540"/>
      <w:tabs>
        <w:tab w:val="num" w:pos="0" w:leader="none"/>
      </w:tabs>
    </w:pPr>
    <w:rPr>
      <w:b/>
      <w:bCs/>
      <w:sz w:val="26"/>
    </w:rPr>
  </w:style>
  <w:style w:type="paragraph" w:styleId="922">
    <w:name w:val="Body Text 2"/>
    <w:basedOn w:val="911"/>
    <w:link w:val="943"/>
    <w:rPr>
      <w:sz w:val="26"/>
    </w:rPr>
  </w:style>
  <w:style w:type="paragraph" w:styleId="923">
    <w:name w:val="Footer"/>
    <w:basedOn w:val="911"/>
    <w:pPr>
      <w:tabs>
        <w:tab w:val="center" w:pos="4677" w:leader="none"/>
        <w:tab w:val="right" w:pos="9355" w:leader="none"/>
      </w:tabs>
    </w:pPr>
  </w:style>
  <w:style w:type="character" w:styleId="924">
    <w:name w:val="page number"/>
    <w:basedOn w:val="913"/>
  </w:style>
  <w:style w:type="paragraph" w:styleId="925">
    <w:name w:val="Balloon Text"/>
    <w:basedOn w:val="911"/>
    <w:semiHidden/>
    <w:rPr>
      <w:rFonts w:ascii="Tahoma" w:hAnsi="Tahoma" w:cs="Tahoma"/>
      <w:sz w:val="16"/>
      <w:szCs w:val="16"/>
    </w:rPr>
  </w:style>
  <w:style w:type="paragraph" w:styleId="926" w:customStyle="1">
    <w:name w:val="Стиль2"/>
    <w:basedOn w:val="928"/>
    <w:pPr>
      <w:numPr>
        <w:ilvl w:val="0"/>
        <w:numId w:val="0"/>
      </w:numPr>
      <w:ind w:left="576" w:hanging="576"/>
      <w:jc w:val="both"/>
      <w:keepLines/>
      <w:keepNext/>
      <w:spacing w:before="120"/>
      <w:widowControl w:val="off"/>
      <w:tabs>
        <w:tab w:val="num" w:pos="576" w:leader="none"/>
      </w:tabs>
      <w:suppressLineNumbers/>
    </w:pPr>
    <w:rPr>
      <w:b/>
      <w:szCs w:val="20"/>
    </w:rPr>
  </w:style>
  <w:style w:type="paragraph" w:styleId="927" w:customStyle="1">
    <w:name w:val="Стиль3 Знак Знак"/>
    <w:basedOn w:val="917"/>
    <w:pPr>
      <w:ind w:firstLine="0"/>
      <w:spacing w:before="120"/>
      <w:tabs>
        <w:tab w:val="num" w:pos="227" w:leader="none"/>
      </w:tabs>
    </w:pPr>
    <w:rPr>
      <w:sz w:val="24"/>
      <w:szCs w:val="20"/>
    </w:rPr>
  </w:style>
  <w:style w:type="paragraph" w:styleId="928">
    <w:name w:val="List Number 2"/>
    <w:basedOn w:val="911"/>
    <w:pPr>
      <w:numPr>
        <w:ilvl w:val="0"/>
        <w:numId w:val="19"/>
      </w:numPr>
    </w:pPr>
  </w:style>
  <w:style w:type="paragraph" w:styleId="929">
    <w:name w:val="Normal (Web)"/>
    <w:basedOn w:val="911"/>
    <w:link w:val="939"/>
    <w:pPr>
      <w:spacing w:before="100" w:beforeAutospacing="1" w:after="100" w:afterAutospacing="1"/>
    </w:pPr>
  </w:style>
  <w:style w:type="paragraph" w:styleId="930" w:customStyle="1">
    <w:name w:val="Знак"/>
    <w:basedOn w:val="911"/>
    <w:pPr>
      <w:jc w:val="both"/>
      <w:spacing w:after="160" w:line="240" w:lineRule="exact"/>
    </w:pPr>
    <w:rPr>
      <w:szCs w:val="20"/>
      <w:lang w:val="en-US" w:eastAsia="en-US"/>
    </w:rPr>
  </w:style>
  <w:style w:type="paragraph" w:styleId="931">
    <w:name w:val="Header"/>
    <w:basedOn w:val="911"/>
    <w:pPr>
      <w:tabs>
        <w:tab w:val="center" w:pos="4677" w:leader="none"/>
        <w:tab w:val="right" w:pos="9355" w:leader="none"/>
      </w:tabs>
    </w:pPr>
  </w:style>
  <w:style w:type="paragraph" w:styleId="932" w:customStyle="1">
    <w:name w:val="Подраздел"/>
    <w:basedOn w:val="911"/>
    <w:pPr>
      <w:jc w:val="center"/>
      <w:spacing w:before="240" w:after="120"/>
    </w:pPr>
    <w:rPr>
      <w:rFonts w:ascii="TimesDL" w:hAnsi="TimesDL" w:cs="TimesDL"/>
      <w:b/>
      <w:bCs/>
      <w:smallCaps/>
      <w:spacing w:val="-2"/>
    </w:rPr>
  </w:style>
  <w:style w:type="paragraph" w:styleId="933" w:customStyle="1">
    <w:name w:val="Условия контракта"/>
    <w:basedOn w:val="911"/>
    <w:semiHidden/>
    <w:pPr>
      <w:numPr>
        <w:ilvl w:val="0"/>
        <w:numId w:val="20"/>
      </w:numPr>
      <w:jc w:val="both"/>
      <w:spacing w:before="240" w:after="120"/>
    </w:pPr>
    <w:rPr>
      <w:b/>
      <w:szCs w:val="20"/>
    </w:rPr>
  </w:style>
  <w:style w:type="paragraph" w:styleId="934" w:customStyle="1">
    <w:name w:val="ConsPlusNormal"/>
    <w:pPr>
      <w:ind w:firstLine="720"/>
      <w:widowControl w:val="off"/>
    </w:pPr>
    <w:rPr>
      <w:rFonts w:ascii="Arial" w:hAnsi="Arial" w:cs="Arial"/>
    </w:rPr>
  </w:style>
  <w:style w:type="paragraph" w:styleId="935" w:customStyle="1">
    <w:name w:val="xl22"/>
    <w:basedOn w:val="911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Arial Unicode MS" w:hAnsi="Arial Unicode MS" w:eastAsia="Arial Unicode MS" w:cs="Arial Unicode MS"/>
      <w:b/>
      <w:bCs/>
    </w:rPr>
  </w:style>
  <w:style w:type="character" w:styleId="936">
    <w:name w:val="Hyperlink"/>
    <w:basedOn w:val="913"/>
    <w:rPr>
      <w:color w:val="0000ff"/>
      <w:u w:val="single"/>
    </w:rPr>
  </w:style>
  <w:style w:type="character" w:styleId="937" w:customStyle="1">
    <w:name w:val="Основной текст с отступом Знак"/>
    <w:basedOn w:val="913"/>
    <w:link w:val="919"/>
    <w:rPr>
      <w:color w:val="000000"/>
      <w:sz w:val="24"/>
      <w:szCs w:val="24"/>
    </w:rPr>
  </w:style>
  <w:style w:type="table" w:styleId="938">
    <w:name w:val="Table Grid"/>
    <w:basedOn w:val="914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39" w:customStyle="1">
    <w:name w:val="Обычный (Интернет) Знак"/>
    <w:basedOn w:val="913"/>
    <w:link w:val="929"/>
    <w:rPr>
      <w:sz w:val="24"/>
      <w:szCs w:val="24"/>
      <w:lang w:val="ru-RU" w:eastAsia="ru-RU" w:bidi="ar-SA"/>
    </w:rPr>
  </w:style>
  <w:style w:type="character" w:styleId="940">
    <w:name w:val="annotation reference"/>
    <w:basedOn w:val="913"/>
    <w:rPr>
      <w:sz w:val="16"/>
    </w:rPr>
  </w:style>
  <w:style w:type="character" w:styleId="941" w:customStyle="1">
    <w:name w:val="Заголовок 1 Знак"/>
    <w:basedOn w:val="913"/>
    <w:link w:val="912"/>
    <w:rPr>
      <w:rFonts w:ascii="Arial Unicode MS" w:hAnsi="Arial Unicode MS" w:eastAsia="Arial Unicode MS" w:cs="Arial Unicode MS"/>
      <w:b/>
      <w:bCs/>
      <w:color w:val="000000"/>
      <w:sz w:val="48"/>
      <w:szCs w:val="48"/>
    </w:rPr>
  </w:style>
  <w:style w:type="character" w:styleId="942" w:customStyle="1">
    <w:name w:val="Заголовок Знак"/>
    <w:basedOn w:val="913"/>
    <w:link w:val="918"/>
    <w:rPr>
      <w:color w:val="000000"/>
      <w:sz w:val="24"/>
      <w:szCs w:val="24"/>
    </w:rPr>
  </w:style>
  <w:style w:type="character" w:styleId="943" w:customStyle="1">
    <w:name w:val="Основной текст 2 Знак"/>
    <w:basedOn w:val="913"/>
    <w:link w:val="922"/>
    <w:rPr>
      <w:sz w:val="26"/>
      <w:szCs w:val="24"/>
    </w:rPr>
  </w:style>
  <w:style w:type="character" w:styleId="944" w:customStyle="1">
    <w:name w:val="Основной текст с отступом 3 Знак"/>
    <w:basedOn w:val="913"/>
    <w:link w:val="921"/>
    <w:rPr>
      <w:b/>
      <w:bCs/>
      <w:sz w:val="26"/>
      <w:szCs w:val="24"/>
    </w:rPr>
  </w:style>
  <w:style w:type="paragraph" w:styleId="945">
    <w:name w:val="List Paragraph"/>
    <w:basedOn w:val="911"/>
    <w:uiPriority w:val="34"/>
    <w:qFormat/>
    <w:pPr>
      <w:contextualSpacing/>
      <w:ind w:left="720"/>
    </w:pPr>
  </w:style>
  <w:style w:type="paragraph" w:styleId="946" w:customStyle="1">
    <w:name w:val="Default"/>
    <w:rPr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E3E63-2DEC-4C1D-8F3E-FB6143B79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Дом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dragon</dc:creator>
  <cp:revision>23</cp:revision>
  <dcterms:created xsi:type="dcterms:W3CDTF">2023-04-26T12:35:00Z</dcterms:created>
  <dcterms:modified xsi:type="dcterms:W3CDTF">2026-06-15T08:59:48Z</dcterms:modified>
</cp:coreProperties>
</file>