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7513"/>
        <w:tabs>
          <w:tab w:val="left" w:pos="6379" w:leader="none"/>
        </w:tabs>
        <w:rPr>
          <w:rFonts w:eastAsia="Arial Unicode MS"/>
          <w:sz w:val="20"/>
          <w:szCs w:val="20"/>
        </w:rPr>
      </w:pPr>
      <w:r>
        <w:rPr>
          <w:rFonts w:eastAsia="Arial Unicode MS"/>
          <w:sz w:val="20"/>
          <w:szCs w:val="20"/>
        </w:rPr>
        <w:t xml:space="preserve">УТВЕРЖДАЮ</w:t>
      </w:r>
      <w:r>
        <w:rPr>
          <w:rFonts w:eastAsia="Arial Unicode MS"/>
          <w:sz w:val="20"/>
          <w:szCs w:val="20"/>
        </w:rPr>
      </w:r>
      <w:r>
        <w:rPr>
          <w:rFonts w:eastAsia="Arial Unicode MS"/>
          <w:sz w:val="20"/>
          <w:szCs w:val="20"/>
        </w:rPr>
      </w:r>
    </w:p>
    <w:p>
      <w:pPr>
        <w:ind w:left="7513"/>
        <w:tabs>
          <w:tab w:val="left" w:pos="6379" w:leader="none"/>
        </w:tabs>
        <w:rPr>
          <w:rFonts w:eastAsia="Arial Unicode MS"/>
          <w:sz w:val="20"/>
          <w:szCs w:val="20"/>
        </w:rPr>
      </w:pPr>
      <w:r>
        <w:rPr>
          <w:rFonts w:eastAsia="Arial Unicode MS"/>
          <w:sz w:val="20"/>
          <w:szCs w:val="20"/>
        </w:rPr>
        <w:t xml:space="preserve">Заместитель председателя </w:t>
      </w:r>
      <w:r>
        <w:rPr>
          <w:rFonts w:eastAsia="Arial Unicode MS"/>
          <w:sz w:val="20"/>
          <w:szCs w:val="20"/>
        </w:rPr>
      </w:r>
      <w:r>
        <w:rPr>
          <w:rFonts w:eastAsia="Arial Unicode MS"/>
          <w:sz w:val="20"/>
          <w:szCs w:val="20"/>
        </w:rPr>
      </w:r>
    </w:p>
    <w:p>
      <w:pPr>
        <w:ind w:left="7513"/>
        <w:tabs>
          <w:tab w:val="left" w:pos="6379" w:leader="none"/>
        </w:tabs>
        <w:rPr>
          <w:rFonts w:eastAsia="Arial Unicode MS"/>
          <w:sz w:val="20"/>
          <w:szCs w:val="20"/>
        </w:rPr>
      </w:pPr>
      <w:r>
        <w:rPr>
          <w:rFonts w:eastAsia="Arial Unicode MS"/>
          <w:sz w:val="20"/>
          <w:szCs w:val="20"/>
        </w:rPr>
        <w:t xml:space="preserve">Государственного комитета </w:t>
      </w:r>
      <w:r>
        <w:rPr>
          <w:rFonts w:eastAsia="Arial Unicode MS"/>
          <w:sz w:val="20"/>
          <w:szCs w:val="20"/>
        </w:rPr>
      </w:r>
      <w:r>
        <w:rPr>
          <w:rFonts w:eastAsia="Arial Unicode MS"/>
          <w:sz w:val="20"/>
          <w:szCs w:val="20"/>
        </w:rPr>
      </w:r>
    </w:p>
    <w:p>
      <w:pPr>
        <w:ind w:left="7513"/>
        <w:tabs>
          <w:tab w:val="left" w:pos="6379" w:leader="none"/>
        </w:tabs>
        <w:rPr>
          <w:rFonts w:eastAsia="Arial Unicode MS"/>
          <w:sz w:val="20"/>
          <w:szCs w:val="20"/>
        </w:rPr>
      </w:pPr>
      <w:r>
        <w:rPr>
          <w:rFonts w:eastAsia="Arial Unicode MS"/>
          <w:sz w:val="20"/>
          <w:szCs w:val="20"/>
        </w:rPr>
        <w:t xml:space="preserve">Республики Татарстан по закупкам</w:t>
      </w:r>
      <w:r>
        <w:rPr>
          <w:rFonts w:eastAsia="Arial Unicode MS"/>
          <w:sz w:val="20"/>
          <w:szCs w:val="20"/>
        </w:rPr>
      </w:r>
      <w:r>
        <w:rPr>
          <w:rFonts w:eastAsia="Arial Unicode MS"/>
          <w:sz w:val="20"/>
          <w:szCs w:val="20"/>
        </w:rPr>
      </w:r>
    </w:p>
    <w:p>
      <w:pPr>
        <w:ind w:left="7513"/>
        <w:tabs>
          <w:tab w:val="left" w:pos="6379" w:leader="none"/>
        </w:tabs>
        <w:rPr>
          <w:rFonts w:eastAsia="Arial Unicode MS"/>
          <w:sz w:val="20"/>
          <w:szCs w:val="20"/>
        </w:rPr>
      </w:pPr>
      <w:r>
        <w:rPr>
          <w:rFonts w:eastAsia="Arial Unicode MS"/>
          <w:sz w:val="20"/>
          <w:szCs w:val="20"/>
        </w:rPr>
        <w:t xml:space="preserve">_____________/</w:t>
      </w:r>
      <w:r>
        <w:rPr>
          <w:rFonts w:eastAsia="Arial Unicode MS"/>
          <w:sz w:val="20"/>
          <w:szCs w:val="20"/>
        </w:rPr>
        <w:t xml:space="preserve">М.С. Алмазова</w:t>
      </w:r>
      <w:r>
        <w:rPr>
          <w:rFonts w:eastAsia="Arial Unicode MS"/>
          <w:sz w:val="20"/>
          <w:szCs w:val="20"/>
        </w:rPr>
        <w:t xml:space="preserve">/</w:t>
      </w:r>
      <w:r>
        <w:rPr>
          <w:rFonts w:eastAsia="Arial Unicode MS"/>
          <w:sz w:val="20"/>
          <w:szCs w:val="20"/>
        </w:rPr>
      </w:r>
      <w:r>
        <w:rPr>
          <w:rFonts w:eastAsia="Arial Unicode MS"/>
          <w:sz w:val="20"/>
          <w:szCs w:val="20"/>
        </w:rPr>
      </w:r>
    </w:p>
    <w:p>
      <w:pPr>
        <w:pStyle w:val="918"/>
        <w:jc w:val="left"/>
        <w:spacing w:before="0" w:beforeAutospacing="0" w:after="0" w:afterAutospacing="0"/>
        <w:widowControl w:val="off"/>
        <w:rPr>
          <w:color w:val="auto"/>
          <w:sz w:val="20"/>
          <w:szCs w:val="20"/>
        </w:rPr>
        <w:outlineLvl w:val="0"/>
      </w:pPr>
      <w:r>
        <w:rPr>
          <w:color w:val="auto"/>
          <w:sz w:val="20"/>
          <w:szCs w:val="20"/>
        </w:rPr>
      </w:r>
      <w:r>
        <w:rPr>
          <w:color w:val="auto"/>
          <w:sz w:val="20"/>
          <w:szCs w:val="20"/>
        </w:rPr>
      </w:r>
      <w:r>
        <w:rPr>
          <w:color w:val="auto"/>
          <w:sz w:val="20"/>
          <w:szCs w:val="20"/>
        </w:rPr>
      </w:r>
    </w:p>
    <w:p>
      <w:pPr>
        <w:pStyle w:val="921"/>
        <w:ind w:firstLine="142"/>
        <w:jc w:val="center"/>
        <w:widowControl w:val="off"/>
        <w:tabs>
          <w:tab w:val="clear" w:pos="0" w:leader="none"/>
        </w:tabs>
      </w:pPr>
      <w:r>
        <w:rPr>
          <w:b w:val="0"/>
          <w:bCs w:val="0"/>
          <w:sz w:val="20"/>
          <w:szCs w:val="20"/>
        </w:rPr>
        <w:t xml:space="preserve">Протокол</w:t>
      </w:r>
      <w:r>
        <w:rPr>
          <w:b w:val="0"/>
          <w:bCs w:val="0"/>
          <w:sz w:val="20"/>
          <w:szCs w:val="20"/>
        </w:rPr>
      </w:r>
      <w:r/>
    </w:p>
    <w:p>
      <w:pPr>
        <w:pStyle w:val="921"/>
        <w:ind w:firstLine="142"/>
        <w:jc w:val="center"/>
        <w:widowControl w:val="off"/>
        <w:tabs>
          <w:tab w:val="clear" w:pos="0" w:leader="none"/>
        </w:tabs>
      </w:pPr>
      <w:r>
        <w:rPr>
          <w:b w:val="0"/>
          <w:bCs w:val="0"/>
          <w:sz w:val="20"/>
          <w:szCs w:val="20"/>
        </w:rPr>
        <w:t xml:space="preserve">рассмотрения единственного предложения на участие в конкурентном отборе № </w:t>
      </w:r>
      <w:r>
        <w:rPr>
          <w:b w:val="0"/>
          <w:bCs w:val="0"/>
          <w:sz w:val="20"/>
          <w:szCs w:val="20"/>
        </w:rPr>
      </w:r>
      <w:r>
        <w:rPr>
          <w:b w:val="0"/>
          <w:bCs w:val="0"/>
          <w:sz w:val="20"/>
          <w:szCs w:val="20"/>
        </w:rPr>
      </w:r>
      <w:r>
        <w:rPr>
          <w:b w:val="0"/>
          <w:bCs w:val="0"/>
          <w:sz w:val="20"/>
          <w:szCs w:val="20"/>
        </w:rPr>
        <w:t xml:space="preserve">0011326017DP</w:t>
      </w:r>
      <w:r>
        <w:rPr>
          <w:b w:val="0"/>
          <w:bCs w:val="0"/>
          <w:sz w:val="20"/>
          <w:szCs w:val="20"/>
        </w:rPr>
      </w:r>
      <w:r>
        <w:rPr>
          <w:b w:val="0"/>
          <w:bCs w:val="0"/>
          <w:sz w:val="20"/>
          <w:szCs w:val="20"/>
        </w:rPr>
      </w:r>
      <w:r>
        <w:rPr>
          <w:b w:val="0"/>
          <w:bCs w:val="0"/>
          <w:sz w:val="20"/>
          <w:szCs w:val="20"/>
        </w:rPr>
      </w:r>
      <w:r/>
      <w:r/>
      <w:r>
        <w:rPr>
          <w:b w:val="0"/>
          <w:bCs w:val="0"/>
          <w:sz w:val="20"/>
          <w:szCs w:val="20"/>
        </w:rPr>
      </w:r>
    </w:p>
    <w:p>
      <w:pPr>
        <w:pStyle w:val="921"/>
        <w:ind w:firstLine="142"/>
        <w:jc w:val="both"/>
        <w:widowControl w:val="off"/>
        <w:tabs>
          <w:tab w:val="clear" w:pos="0" w:leader="none"/>
        </w:tabs>
      </w:pPr>
      <w:r>
        <w:rPr>
          <w:b w:val="0"/>
          <w:bCs w:val="0"/>
          <w:sz w:val="20"/>
          <w:szCs w:val="20"/>
        </w:rPr>
      </w:r>
      <w:r>
        <w:rPr>
          <w:b w:val="0"/>
          <w:bCs w:val="0"/>
          <w:sz w:val="20"/>
          <w:szCs w:val="20"/>
        </w:rPr>
      </w:r>
      <w:r/>
    </w:p>
    <w:p>
      <w:pPr>
        <w:pStyle w:val="921"/>
        <w:ind w:firstLine="142"/>
        <w:jc w:val="both"/>
        <w:widowControl w:val="off"/>
        <w:tabs>
          <w:tab w:val="clear" w:pos="0" w:leader="none"/>
        </w:tabs>
      </w:pPr>
      <w:r>
        <w:rPr>
          <w:b w:val="0"/>
          <w:bCs w:val="0"/>
          <w:sz w:val="20"/>
          <w:szCs w:val="20"/>
        </w:rPr>
        <w:t xml:space="preserve">г. Казань                                                                                                                                                                      «24» июня 2026 года</w:t>
      </w:r>
      <w:r>
        <w:rPr>
          <w:b w:val="0"/>
          <w:bCs w:val="0"/>
          <w:sz w:val="20"/>
          <w:szCs w:val="20"/>
        </w:rPr>
      </w:r>
      <w:r/>
    </w:p>
    <w:p>
      <w:pPr>
        <w:pStyle w:val="921"/>
        <w:ind w:firstLine="142"/>
        <w:jc w:val="both"/>
        <w:widowControl w:val="off"/>
        <w:tabs>
          <w:tab w:val="clear" w:pos="0" w:leader="none"/>
        </w:tabs>
      </w:pPr>
      <w:r>
        <w:rPr>
          <w:b w:val="0"/>
          <w:bCs w:val="0"/>
          <w:sz w:val="20"/>
          <w:szCs w:val="20"/>
        </w:rPr>
      </w:r>
      <w:r>
        <w:rPr>
          <w:b w:val="0"/>
          <w:bCs w:val="0"/>
          <w:sz w:val="20"/>
          <w:szCs w:val="20"/>
        </w:rPr>
      </w:r>
      <w:r/>
    </w:p>
    <w:p>
      <w:pPr>
        <w:pStyle w:val="921"/>
        <w:ind w:firstLine="142"/>
        <w:jc w:val="both"/>
        <w:widowControl w:val="off"/>
        <w:tabs>
          <w:tab w:val="clear" w:pos="0" w:leader="none"/>
        </w:tabs>
      </w:pPr>
      <w:r>
        <w:rPr>
          <w:b w:val="0"/>
          <w:bCs w:val="0"/>
          <w:sz w:val="20"/>
          <w:szCs w:val="20"/>
        </w:rPr>
        <w:t xml:space="preserve">1. Наименование уполномоченного органа: Государственный комитет Республики Татарстан по закупкам.</w:t>
      </w:r>
      <w:r>
        <w:rPr>
          <w:b w:val="0"/>
          <w:bCs w:val="0"/>
          <w:sz w:val="20"/>
          <w:szCs w:val="20"/>
        </w:rPr>
      </w:r>
      <w:r/>
    </w:p>
    <w:p>
      <w:pPr>
        <w:pStyle w:val="921"/>
        <w:ind w:firstLine="142"/>
        <w:jc w:val="both"/>
        <w:widowControl w:val="off"/>
        <w:tabs>
          <w:tab w:val="clear" w:pos="0" w:leader="none"/>
        </w:tabs>
      </w:pPr>
      <w:r>
        <w:rPr>
          <w:b w:val="0"/>
          <w:bCs w:val="0"/>
          <w:sz w:val="20"/>
          <w:szCs w:val="20"/>
        </w:rPr>
        <w:t xml:space="preserve">2. Наименование заказчика: Автономная некоммерческая организация «Дирекция спортивных и социальных проектов».</w:t>
      </w:r>
      <w:r>
        <w:rPr>
          <w:b w:val="0"/>
          <w:bCs w:val="0"/>
          <w:sz w:val="20"/>
          <w:szCs w:val="20"/>
        </w:rPr>
      </w:r>
      <w:r/>
    </w:p>
    <w:p>
      <w:pPr>
        <w:pStyle w:val="921"/>
        <w:ind w:firstLine="142"/>
        <w:jc w:val="both"/>
        <w:widowControl w:val="off"/>
        <w:tabs>
          <w:tab w:val="clear" w:pos="0" w:leader="none"/>
        </w:tabs>
      </w:pPr>
      <w:r>
        <w:rPr>
          <w:b w:val="0"/>
          <w:bCs w:val="0"/>
          <w:sz w:val="20"/>
          <w:szCs w:val="20"/>
        </w:rPr>
        <w:t xml:space="preserve">3</w:t>
      </w:r>
      <w:r>
        <w:rPr>
          <w:b w:val="0"/>
          <w:bCs w:val="0"/>
          <w:sz w:val="20"/>
          <w:szCs w:val="20"/>
        </w:rPr>
        <w:t xml:space="preserve">. Наименование конкурентного отбора: </w:t>
      </w:r>
      <w:r>
        <w:rPr>
          <w:b w:val="0"/>
          <w:bCs w:val="0"/>
          <w:sz w:val="20"/>
          <w:szCs w:val="20"/>
        </w:rPr>
        <w:t xml:space="preserve">П</w:t>
      </w:r>
      <w:r>
        <w:rPr>
          <w:b w:val="0"/>
          <w:bCs w:val="0"/>
          <w:sz w:val="20"/>
          <w:szCs w:val="20"/>
        </w:rPr>
        <w:t xml:space="preserve">раво заключения договора на изготовление и поставку сувенирной продукции (национальное кондитерское изделие в брендированной упаковке) для участников Международного форума потребительской кооперации «Молодежь кооперации: объединяя ресурсы для развития отра</w:t>
      </w:r>
      <w:r>
        <w:rPr>
          <w:b w:val="0"/>
          <w:bCs w:val="0"/>
          <w:sz w:val="20"/>
          <w:szCs w:val="20"/>
        </w:rPr>
        <w:t xml:space="preserve">сли»</w:t>
      </w:r>
      <w:r>
        <w:rPr>
          <w:b w:val="0"/>
          <w:bCs w:val="0"/>
          <w:sz w:val="20"/>
          <w:szCs w:val="20"/>
        </w:rPr>
        <w:t xml:space="preserve">.</w:t>
      </w:r>
      <w:r>
        <w:rPr>
          <w:b w:val="0"/>
          <w:bCs w:val="0"/>
          <w:sz w:val="20"/>
          <w:szCs w:val="20"/>
        </w:rPr>
      </w:r>
      <w:r/>
    </w:p>
    <w:p>
      <w:pPr>
        <w:pStyle w:val="921"/>
        <w:ind w:firstLine="142"/>
        <w:jc w:val="both"/>
        <w:widowControl w:val="off"/>
        <w:tabs>
          <w:tab w:val="clear" w:pos="0" w:leader="none"/>
        </w:tabs>
      </w:pPr>
      <w:r>
        <w:rPr>
          <w:b w:val="0"/>
          <w:bCs w:val="0"/>
          <w:sz w:val="20"/>
          <w:szCs w:val="20"/>
        </w:rPr>
        <w:t xml:space="preserve">4. Начальная (максимальная) цена за единицу: 1 340,00 руб.</w:t>
      </w:r>
      <w:r>
        <w:rPr>
          <w:b w:val="0"/>
          <w:bCs w:val="0"/>
          <w:sz w:val="20"/>
          <w:szCs w:val="20"/>
        </w:rPr>
      </w:r>
      <w:r/>
    </w:p>
    <w:p>
      <w:pPr>
        <w:pStyle w:val="921"/>
        <w:ind w:firstLine="142"/>
        <w:jc w:val="both"/>
        <w:widowControl w:val="off"/>
        <w:tabs>
          <w:tab w:val="clear" w:pos="0" w:leader="none"/>
        </w:tabs>
      </w:pPr>
      <w:r>
        <w:rPr>
          <w:b w:val="0"/>
          <w:bCs w:val="0"/>
          <w:sz w:val="20"/>
          <w:szCs w:val="20"/>
        </w:rPr>
        <w:t xml:space="preserve">4.1. Общая цена договора: 804 000,00 руб.</w:t>
      </w:r>
      <w:r>
        <w:rPr>
          <w:b w:val="0"/>
          <w:bCs w:val="0"/>
          <w:sz w:val="20"/>
          <w:szCs w:val="20"/>
        </w:rPr>
      </w:r>
      <w:r/>
    </w:p>
    <w:p>
      <w:pPr>
        <w:pStyle w:val="921"/>
        <w:ind w:firstLine="142"/>
        <w:jc w:val="both"/>
        <w:widowControl w:val="off"/>
        <w:tabs>
          <w:tab w:val="clear" w:pos="0" w:leader="none"/>
        </w:tabs>
      </w:pPr>
      <w:r>
        <w:rPr>
          <w:b w:val="0"/>
          <w:bCs w:val="0"/>
          <w:sz w:val="20"/>
          <w:szCs w:val="20"/>
        </w:rPr>
        <w:t xml:space="preserve">5. Комиссия правомочна осуществлять свои функции, т.к. на заседании комиссии присутствует не менее чем пятьдесят процентов общего числа ее членов.</w:t>
      </w:r>
      <w:r>
        <w:rPr>
          <w:b w:val="0"/>
          <w:bCs w:val="0"/>
          <w:sz w:val="20"/>
          <w:szCs w:val="20"/>
        </w:rPr>
      </w:r>
      <w:r/>
    </w:p>
    <w:p>
      <w:pPr>
        <w:pStyle w:val="921"/>
        <w:ind w:firstLine="142"/>
        <w:jc w:val="both"/>
        <w:widowControl w:val="off"/>
        <w:tabs>
          <w:tab w:val="clear" w:pos="0" w:leader="none"/>
        </w:tabs>
        <w:rPr>
          <w:b w:val="0"/>
          <w:bCs w:val="0"/>
          <w:sz w:val="20"/>
          <w:szCs w:val="20"/>
        </w:rPr>
      </w:pPr>
      <w:r>
        <w:rPr>
          <w:b w:val="0"/>
          <w:bCs w:val="0"/>
          <w:sz w:val="20"/>
          <w:szCs w:val="20"/>
        </w:rPr>
        <w:t xml:space="preserve">6</w:t>
      </w:r>
      <w:r>
        <w:rPr>
          <w:b w:val="0"/>
          <w:bCs w:val="0"/>
          <w:sz w:val="20"/>
          <w:szCs w:val="20"/>
        </w:rPr>
        <w:t xml:space="preserve">. Процедура рассмотрения, оценки и сопоставления предложений на участие в конкурентном отборе проводилась комиссией в период с 10 часов 00 минут «22» июня 2026 года до 14 часов 00 минут «24» июня 2026 года по адресу: Электронная Торговая Система Etpzak</w:t>
      </w:r>
      <w:r>
        <w:rPr>
          <w:b w:val="0"/>
          <w:bCs w:val="0"/>
          <w:sz w:val="20"/>
          <w:szCs w:val="20"/>
        </w:rPr>
        <w:t xml:space="preserve">upki.tatar http://etpzakupki.tatar.</w:t>
      </w:r>
      <w:r>
        <w:rPr>
          <w:b w:val="0"/>
          <w:bCs w:val="0"/>
          <w:sz w:val="20"/>
          <w:szCs w:val="20"/>
        </w:rPr>
      </w:r>
      <w:r>
        <w:rPr>
          <w:b w:val="0"/>
          <w:bCs w:val="0"/>
          <w:sz w:val="20"/>
          <w:szCs w:val="20"/>
        </w:rPr>
      </w:r>
    </w:p>
    <w:p>
      <w:pPr>
        <w:pStyle w:val="921"/>
        <w:ind w:firstLine="142"/>
        <w:jc w:val="both"/>
        <w:widowControl w:val="off"/>
        <w:tabs>
          <w:tab w:val="clear" w:pos="0" w:leader="none"/>
        </w:tabs>
        <w:rPr>
          <w:b w:val="0"/>
          <w:bCs w:val="0"/>
          <w:sz w:val="20"/>
          <w:szCs w:val="20"/>
        </w:rPr>
      </w:pPr>
      <w:r>
        <w:rPr>
          <w:b w:val="0"/>
          <w:bCs w:val="0"/>
          <w:sz w:val="20"/>
          <w:szCs w:val="20"/>
        </w:rPr>
        <w:t xml:space="preserve">7. </w:t>
      </w:r>
      <w:r>
        <w:rPr>
          <w:b w:val="0"/>
          <w:bCs w:val="0"/>
          <w:sz w:val="20"/>
          <w:szCs w:val="20"/>
        </w:rPr>
        <w:t xml:space="preserve">Для участия в конкурентном отборе было подано </w:t>
      </w:r>
      <w:r>
        <w:rPr>
          <w:b w:val="0"/>
          <w:bCs w:val="0"/>
          <w:sz w:val="20"/>
          <w:szCs w:val="20"/>
        </w:rPr>
        <w:t xml:space="preserve">1</w:t>
      </w:r>
      <w:r>
        <w:rPr>
          <w:b w:val="0"/>
          <w:bCs w:val="0"/>
          <w:sz w:val="20"/>
          <w:szCs w:val="20"/>
        </w:rPr>
        <w:t xml:space="preserve"> (</w:t>
      </w:r>
      <w:r>
        <w:rPr>
          <w:b w:val="0"/>
          <w:bCs w:val="0"/>
          <w:sz w:val="20"/>
          <w:szCs w:val="20"/>
        </w:rPr>
        <w:t xml:space="preserve">одно</w:t>
      </w:r>
      <w:r>
        <w:rPr>
          <w:b w:val="0"/>
          <w:bCs w:val="0"/>
          <w:sz w:val="20"/>
          <w:szCs w:val="20"/>
        </w:rPr>
        <w:t xml:space="preserve">) предложени</w:t>
      </w:r>
      <w:r>
        <w:rPr>
          <w:b w:val="0"/>
          <w:bCs w:val="0"/>
          <w:sz w:val="20"/>
          <w:szCs w:val="20"/>
        </w:rPr>
        <w:t xml:space="preserve">е:</w:t>
      </w:r>
      <w:r>
        <w:rPr>
          <w:b w:val="0"/>
          <w:bCs w:val="0"/>
          <w:sz w:val="20"/>
          <w:szCs w:val="20"/>
        </w:rPr>
      </w:r>
      <w:r>
        <w:rPr>
          <w:b w:val="0"/>
          <w:bCs w:val="0"/>
          <w:sz w:val="20"/>
          <w:szCs w:val="20"/>
        </w:rPr>
      </w:r>
    </w:p>
    <w:tbl>
      <w:tblPr>
        <w:tblW w:w="1119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750"/>
        <w:gridCol w:w="6740"/>
      </w:tblGrid>
      <w:tr>
        <w:tblPrEx/>
        <w:trPr>
          <w:trHeight w:val="60"/>
        </w:trPr>
        <w:tc>
          <w:tcPr>
            <w:tcW w:w="709" w:type="dxa"/>
            <w:vAlign w:val="center"/>
            <w:textDirection w:val="lrTb"/>
            <w:noWrap w:val="false"/>
          </w:tcPr>
          <w:p>
            <w:pPr>
              <w:pStyle w:val="919"/>
              <w:spacing w:before="0" w:beforeAutospacing="0" w:after="0" w:afterAutospacing="0"/>
              <w:rPr>
                <w:color w:val="auto"/>
                <w:sz w:val="18"/>
                <w:szCs w:val="18"/>
              </w:rPr>
              <w:outlineLvl w:val="0"/>
            </w:pPr>
            <w:r>
              <w:rPr>
                <w:color w:val="auto"/>
                <w:sz w:val="18"/>
                <w:szCs w:val="18"/>
              </w:rPr>
              <w:t xml:space="preserve">№ п/п</w:t>
            </w:r>
            <w:r>
              <w:rPr>
                <w:color w:val="auto"/>
                <w:sz w:val="18"/>
                <w:szCs w:val="18"/>
              </w:rPr>
            </w:r>
            <w:r>
              <w:rPr>
                <w:color w:val="auto"/>
                <w:sz w:val="18"/>
                <w:szCs w:val="18"/>
              </w:rPr>
            </w:r>
          </w:p>
        </w:tc>
        <w:tc>
          <w:tcPr>
            <w:tcW w:w="3750" w:type="dxa"/>
            <w:vAlign w:val="center"/>
            <w:textDirection w:val="lrTb"/>
            <w:noWrap w:val="false"/>
          </w:tcPr>
          <w:p>
            <w:pPr>
              <w:pStyle w:val="919"/>
              <w:ind w:firstLine="142"/>
              <w:jc w:val="center"/>
              <w:spacing w:before="0" w:beforeAutospacing="0" w:after="0" w:afterAutospacing="0"/>
              <w:rPr>
                <w:color w:val="auto"/>
                <w:sz w:val="18"/>
                <w:szCs w:val="18"/>
              </w:rPr>
              <w:outlineLvl w:val="0"/>
            </w:pPr>
            <w:r>
              <w:rPr>
                <w:color w:val="auto"/>
                <w:sz w:val="18"/>
                <w:szCs w:val="18"/>
              </w:rPr>
              <w:t xml:space="preserve">Номер заявки </w:t>
            </w:r>
            <w:r>
              <w:rPr>
                <w:color w:val="auto"/>
                <w:sz w:val="18"/>
                <w:szCs w:val="18"/>
              </w:rPr>
            </w:r>
            <w:r>
              <w:rPr>
                <w:color w:val="auto"/>
                <w:sz w:val="18"/>
                <w:szCs w:val="18"/>
              </w:rPr>
            </w:r>
          </w:p>
        </w:tc>
        <w:tc>
          <w:tcPr>
            <w:tcW w:w="6740" w:type="dxa"/>
            <w:vAlign w:val="center"/>
            <w:textDirection w:val="lrTb"/>
            <w:noWrap w:val="false"/>
          </w:tcPr>
          <w:p>
            <w:pPr>
              <w:pStyle w:val="919"/>
              <w:ind w:firstLine="142"/>
              <w:jc w:val="center"/>
              <w:spacing w:before="0" w:beforeAutospacing="0" w:after="0" w:afterAutospacing="0"/>
              <w:rPr>
                <w:color w:val="auto"/>
                <w:sz w:val="18"/>
                <w:szCs w:val="18"/>
              </w:rPr>
              <w:outlineLvl w:val="0"/>
            </w:pPr>
            <w:r>
              <w:rPr>
                <w:color w:val="auto"/>
                <w:sz w:val="18"/>
                <w:szCs w:val="18"/>
              </w:rPr>
              <w:t xml:space="preserve">Наименование участника </w:t>
            </w:r>
            <w:r>
              <w:rPr>
                <w:color w:val="auto"/>
                <w:sz w:val="18"/>
                <w:szCs w:val="18"/>
              </w:rPr>
            </w:r>
            <w:r>
              <w:rPr>
                <w:color w:val="auto"/>
                <w:sz w:val="18"/>
                <w:szCs w:val="18"/>
              </w:rPr>
            </w:r>
          </w:p>
        </w:tc>
      </w:tr>
      <w:tr>
        <w:tblPrEx/>
        <w:trPr>
          <w:trHeight w:val="60"/>
        </w:trPr>
        <w:tc>
          <w:tcPr>
            <w:tcW w:w="709" w:type="dxa"/>
            <w:vAlign w:val="center"/>
            <w:textDirection w:val="lrTb"/>
            <w:noWrap w:val="false"/>
          </w:tcPr>
          <w:p>
            <w:pPr>
              <w:pStyle w:val="921"/>
              <w:ind w:firstLine="0"/>
              <w:jc w:val="center"/>
              <w:tabs>
                <w:tab w:val="clear" w:pos="0" w:leader="none"/>
              </w:tabs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 xml:space="preserve">1</w:t>
            </w:r>
            <w:r>
              <w:rPr>
                <w:b w:val="0"/>
                <w:bCs w:val="0"/>
                <w:sz w:val="18"/>
                <w:szCs w:val="18"/>
              </w:rPr>
            </w:r>
            <w:r>
              <w:rPr>
                <w:b w:val="0"/>
                <w:bCs w:val="0"/>
                <w:sz w:val="18"/>
                <w:szCs w:val="18"/>
              </w:rPr>
            </w:r>
          </w:p>
        </w:tc>
        <w:tc>
          <w:tcPr>
            <w:tcW w:w="3750" w:type="dxa"/>
            <w:vAlign w:val="center"/>
            <w:textDirection w:val="lrTb"/>
            <w:noWrap w:val="false"/>
          </w:tcPr>
          <w:p>
            <w:pPr>
              <w:pStyle w:val="921"/>
              <w:ind w:left="0" w:right="0" w:firstLine="142"/>
              <w:jc w:val="center"/>
              <w:widowControl w:val="off"/>
              <w:tabs>
                <w:tab w:val="left" w:pos="0" w:leader="none"/>
                <w:tab w:val="left" w:pos="708" w:leader="none"/>
              </w:tabs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 xml:space="preserve">15941</w:t>
            </w:r>
            <w:r>
              <w:rPr>
                <w:b w:val="0"/>
                <w:bCs w:val="0"/>
                <w:sz w:val="18"/>
                <w:szCs w:val="18"/>
              </w:rPr>
            </w:r>
            <w:r>
              <w:rPr>
                <w:b w:val="0"/>
                <w:bCs w:val="0"/>
                <w:sz w:val="18"/>
                <w:szCs w:val="18"/>
              </w:rPr>
            </w:r>
          </w:p>
        </w:tc>
        <w:tc>
          <w:tcPr>
            <w:tcW w:w="6740" w:type="dxa"/>
            <w:vAlign w:val="center"/>
            <w:textDirection w:val="lrTb"/>
            <w:noWrap w:val="false"/>
          </w:tcPr>
          <w:p>
            <w:pPr>
              <w:pStyle w:val="921"/>
              <w:ind w:left="0" w:right="0" w:firstLine="142"/>
              <w:jc w:val="center"/>
              <w:widowControl w:val="off"/>
              <w:tabs>
                <w:tab w:val="left" w:pos="0" w:leader="none"/>
                <w:tab w:val="left" w:pos="708" w:leader="none"/>
              </w:tabs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 xml:space="preserve">ООО «</w:t>
            </w:r>
            <w:r>
              <w:rPr>
                <w:b w:val="0"/>
                <w:bCs w:val="0"/>
                <w:sz w:val="18"/>
                <w:szCs w:val="18"/>
              </w:rPr>
              <w:t xml:space="preserve">КАЗАНСКИЙ ПРОИЗВОДСТВЕННЫЙ КОМБИНАТ</w:t>
            </w:r>
            <w:r>
              <w:rPr>
                <w:b w:val="0"/>
                <w:bCs w:val="0"/>
                <w:sz w:val="18"/>
                <w:szCs w:val="18"/>
              </w:rPr>
              <w:t xml:space="preserve">»</w:t>
            </w:r>
            <w:r>
              <w:rPr>
                <w:b w:val="0"/>
                <w:bCs w:val="0"/>
                <w:sz w:val="18"/>
                <w:szCs w:val="18"/>
              </w:rPr>
            </w:r>
            <w:r>
              <w:rPr>
                <w:b w:val="0"/>
                <w:bCs w:val="0"/>
                <w:sz w:val="18"/>
                <w:szCs w:val="18"/>
              </w:rPr>
            </w:r>
          </w:p>
        </w:tc>
      </w:tr>
    </w:tbl>
    <w:p>
      <w:pPr>
        <w:ind w:firstLine="142"/>
        <w:jc w:val="both"/>
        <w:widowControl w:val="off"/>
        <w:rPr>
          <w:sz w:val="20"/>
          <w:szCs w:val="20"/>
        </w:rPr>
      </w:pPr>
      <w:r>
        <w:rPr>
          <w:sz w:val="20"/>
          <w:szCs w:val="20"/>
        </w:rPr>
        <w:t xml:space="preserve">8. Комиссия уполномоченного органа рассмотрела единственное предложение на участие в конкурентном отборе на соответствие требованиям и условиям, установленным в извещении конкурентного отбора, и приняла решение: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142"/>
        <w:jc w:val="both"/>
        <w:widowControl w:val="off"/>
        <w:rPr>
          <w:sz w:val="20"/>
          <w:szCs w:val="20"/>
        </w:rPr>
      </w:pPr>
      <w:r>
        <w:rPr>
          <w:sz w:val="20"/>
          <w:szCs w:val="20"/>
        </w:rPr>
        <w:t xml:space="preserve">8.</w:t>
      </w:r>
      <w:r>
        <w:rPr>
          <w:sz w:val="20"/>
          <w:szCs w:val="20"/>
        </w:rPr>
        <w:t xml:space="preserve">1. Отклонить предложение единственного участника конкурентного отбора:</w:t>
      </w:r>
      <w:r>
        <w:rPr>
          <w:sz w:val="20"/>
          <w:szCs w:val="20"/>
        </w:rPr>
      </w:r>
      <w:r>
        <w:rPr>
          <w:sz w:val="20"/>
          <w:szCs w:val="20"/>
        </w:rPr>
      </w:r>
    </w:p>
    <w:tbl>
      <w:tblPr>
        <w:tblStyle w:val="938"/>
        <w:tblW w:w="1119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1172"/>
        <w:gridCol w:w="2578"/>
        <w:gridCol w:w="6740"/>
      </w:tblGrid>
      <w:tr>
        <w:tblPrEx/>
        <w:trPr>
          <w:trHeight w:val="291"/>
        </w:trPr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pStyle w:val="921"/>
              <w:ind w:firstLine="0"/>
              <w:jc w:val="center"/>
              <w:tabs>
                <w:tab w:val="clear" w:pos="0" w:leader="none"/>
              </w:tabs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 xml:space="preserve">№ п/п</w:t>
            </w:r>
            <w:r>
              <w:rPr>
                <w:b w:val="0"/>
                <w:bCs w:val="0"/>
                <w:sz w:val="18"/>
                <w:szCs w:val="18"/>
              </w:rPr>
            </w:r>
            <w:r>
              <w:rPr>
                <w:b w:val="0"/>
                <w:bCs w:val="0"/>
                <w:sz w:val="18"/>
                <w:szCs w:val="18"/>
              </w:rPr>
            </w:r>
          </w:p>
        </w:tc>
        <w:tc>
          <w:tcPr>
            <w:shd w:val="clear" w:color="auto" w:fill="auto"/>
            <w:tcW w:w="1172" w:type="dxa"/>
            <w:vAlign w:val="center"/>
            <w:textDirection w:val="lrTb"/>
            <w:noWrap w:val="false"/>
          </w:tcPr>
          <w:p>
            <w:pPr>
              <w:pStyle w:val="921"/>
              <w:ind w:left="-108" w:right="-108" w:firstLine="0"/>
              <w:jc w:val="center"/>
              <w:tabs>
                <w:tab w:val="clear" w:pos="0" w:leader="none"/>
              </w:tabs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 xml:space="preserve">Номер заявки</w:t>
            </w:r>
            <w:r>
              <w:rPr>
                <w:b w:val="0"/>
                <w:bCs w:val="0"/>
                <w:sz w:val="18"/>
                <w:szCs w:val="18"/>
              </w:rPr>
            </w:r>
            <w:r>
              <w:rPr>
                <w:b w:val="0"/>
                <w:bCs w:val="0"/>
                <w:sz w:val="18"/>
                <w:szCs w:val="18"/>
              </w:rPr>
            </w:r>
          </w:p>
        </w:tc>
        <w:tc>
          <w:tcPr>
            <w:shd w:val="clear" w:color="auto" w:fill="auto"/>
            <w:tcW w:w="2578" w:type="dxa"/>
            <w:vAlign w:val="center"/>
            <w:textDirection w:val="lrTb"/>
            <w:noWrap w:val="false"/>
          </w:tcPr>
          <w:p>
            <w:pPr>
              <w:pStyle w:val="921"/>
              <w:ind w:left="-108" w:right="-108" w:firstLine="0"/>
              <w:jc w:val="center"/>
              <w:tabs>
                <w:tab w:val="clear" w:pos="0" w:leader="none"/>
              </w:tabs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 xml:space="preserve">Наименование участника</w:t>
            </w:r>
            <w:r>
              <w:rPr>
                <w:b w:val="0"/>
                <w:bCs w:val="0"/>
                <w:sz w:val="18"/>
                <w:szCs w:val="18"/>
              </w:rPr>
            </w:r>
            <w:r>
              <w:rPr>
                <w:b w:val="0"/>
                <w:bCs w:val="0"/>
                <w:sz w:val="18"/>
                <w:szCs w:val="18"/>
              </w:rPr>
            </w:r>
          </w:p>
        </w:tc>
        <w:tc>
          <w:tcPr>
            <w:shd w:val="clear" w:color="auto" w:fill="auto"/>
            <w:tcW w:w="6740" w:type="dxa"/>
            <w:vAlign w:val="center"/>
            <w:textDirection w:val="lrTb"/>
            <w:noWrap w:val="false"/>
          </w:tcPr>
          <w:p>
            <w:pPr>
              <w:pStyle w:val="921"/>
              <w:ind w:right="-108" w:firstLine="0"/>
              <w:jc w:val="center"/>
              <w:tabs>
                <w:tab w:val="clear" w:pos="0" w:leader="none"/>
              </w:tabs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 xml:space="preserve">Обоснование принятого решения</w:t>
            </w:r>
            <w:r>
              <w:rPr>
                <w:b w:val="0"/>
                <w:bCs w:val="0"/>
                <w:sz w:val="18"/>
                <w:szCs w:val="18"/>
              </w:rPr>
            </w:r>
            <w:r>
              <w:rPr>
                <w:b w:val="0"/>
                <w:bCs w:val="0"/>
                <w:sz w:val="18"/>
                <w:szCs w:val="18"/>
              </w:rPr>
            </w:r>
          </w:p>
        </w:tc>
      </w:tr>
      <w:tr>
        <w:tblPrEx/>
        <w:trPr>
          <w:trHeight w:val="291"/>
        </w:trPr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pStyle w:val="921"/>
              <w:ind w:firstLine="0"/>
              <w:jc w:val="center"/>
              <w:tabs>
                <w:tab w:val="clear" w:pos="0" w:leader="none"/>
              </w:tabs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 xml:space="preserve">1</w:t>
            </w:r>
            <w:r>
              <w:rPr>
                <w:b w:val="0"/>
                <w:bCs w:val="0"/>
                <w:sz w:val="18"/>
                <w:szCs w:val="18"/>
              </w:rPr>
            </w:r>
            <w:r>
              <w:rPr>
                <w:b w:val="0"/>
                <w:bCs w:val="0"/>
                <w:sz w:val="18"/>
                <w:szCs w:val="18"/>
              </w:rPr>
            </w:r>
          </w:p>
        </w:tc>
        <w:tc>
          <w:tcPr>
            <w:shd w:val="clear" w:color="auto" w:fill="auto"/>
            <w:tcW w:w="1172" w:type="dxa"/>
            <w:vAlign w:val="center"/>
            <w:textDirection w:val="lrTb"/>
            <w:noWrap w:val="false"/>
          </w:tcPr>
          <w:p>
            <w:pPr>
              <w:pStyle w:val="921"/>
              <w:ind w:left="-108" w:right="-108" w:firstLine="0"/>
              <w:jc w:val="center"/>
              <w:tabs>
                <w:tab w:val="clear" w:pos="0" w:leader="none"/>
              </w:tabs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</w:r>
            <w:r>
              <w:rPr>
                <w:b w:val="0"/>
                <w:bCs w:val="0"/>
                <w:sz w:val="18"/>
                <w:szCs w:val="18"/>
              </w:rPr>
              <w:t xml:space="preserve">15941</w:t>
            </w:r>
            <w:r>
              <w:rPr>
                <w:b w:val="0"/>
                <w:bCs w:val="0"/>
                <w:sz w:val="18"/>
                <w:szCs w:val="18"/>
              </w:rPr>
            </w:r>
            <w:r>
              <w:rPr>
                <w:b w:val="0"/>
                <w:bCs w:val="0"/>
                <w:sz w:val="18"/>
                <w:szCs w:val="18"/>
              </w:rPr>
            </w:r>
          </w:p>
        </w:tc>
        <w:tc>
          <w:tcPr>
            <w:shd w:val="clear" w:color="auto" w:fill="auto"/>
            <w:tcW w:w="2578" w:type="dxa"/>
            <w:vAlign w:val="center"/>
            <w:textDirection w:val="lrTb"/>
            <w:noWrap w:val="false"/>
          </w:tcPr>
          <w:p>
            <w:pPr>
              <w:pStyle w:val="921"/>
              <w:ind w:left="0" w:right="0" w:firstLine="142"/>
              <w:jc w:val="center"/>
              <w:widowControl w:val="off"/>
              <w:tabs>
                <w:tab w:val="left" w:pos="0" w:leader="none"/>
                <w:tab w:val="left" w:pos="708" w:leader="none"/>
              </w:tabs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 xml:space="preserve">ООО «</w:t>
            </w:r>
            <w:r>
              <w:rPr>
                <w:b w:val="0"/>
                <w:bCs w:val="0"/>
                <w:sz w:val="18"/>
                <w:szCs w:val="18"/>
              </w:rPr>
              <w:t xml:space="preserve">КАЗАНСКИЙ ПРОИЗВОДСТВЕННЫЙ КОМБИНАТ</w:t>
            </w:r>
            <w:r>
              <w:rPr>
                <w:b w:val="0"/>
                <w:bCs w:val="0"/>
                <w:sz w:val="18"/>
                <w:szCs w:val="18"/>
              </w:rPr>
              <w:t xml:space="preserve">»</w:t>
            </w:r>
            <w:r>
              <w:rPr>
                <w:b w:val="0"/>
                <w:bCs w:val="0"/>
                <w:sz w:val="18"/>
                <w:szCs w:val="18"/>
              </w:rPr>
            </w:r>
            <w:r>
              <w:rPr>
                <w:b w:val="0"/>
                <w:bCs w:val="0"/>
                <w:sz w:val="18"/>
                <w:szCs w:val="18"/>
              </w:rPr>
            </w:r>
          </w:p>
          <w:p>
            <w:pPr>
              <w:pStyle w:val="921"/>
              <w:ind w:left="-108" w:right="-108" w:firstLine="0"/>
              <w:jc w:val="center"/>
              <w:tabs>
                <w:tab w:val="clear" w:pos="0" w:leader="none"/>
              </w:tabs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</w:r>
            <w:r>
              <w:rPr>
                <w:b w:val="0"/>
                <w:bCs w:val="0"/>
                <w:sz w:val="18"/>
                <w:szCs w:val="18"/>
              </w:rPr>
            </w:r>
            <w:r>
              <w:rPr>
                <w:b w:val="0"/>
                <w:bCs w:val="0"/>
                <w:sz w:val="18"/>
                <w:szCs w:val="18"/>
              </w:rPr>
            </w:r>
          </w:p>
        </w:tc>
        <w:tc>
          <w:tcPr>
            <w:shd w:val="clear" w:color="auto" w:fill="auto"/>
            <w:tcW w:w="6740" w:type="dxa"/>
            <w:textDirection w:val="lrTb"/>
            <w:noWrap w:val="false"/>
          </w:tcPr>
          <w:p>
            <w:pPr>
              <w:pStyle w:val="921"/>
              <w:ind w:firstLine="317"/>
              <w:jc w:val="both"/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</w:pPr>
            <w:r>
              <w:rPr>
                <w:b w:val="0"/>
                <w:sz w:val="18"/>
                <w:szCs w:val="18"/>
                <w:lang w:val="tt-RU"/>
              </w:rPr>
            </w:r>
            <w:r>
              <w:rPr>
                <w:b w:val="0"/>
                <w:sz w:val="18"/>
                <w:szCs w:val="18"/>
                <w:lang w:val="tt-RU"/>
              </w:rPr>
              <w:t xml:space="preserve">В</w:t>
            </w:r>
            <w:r>
              <w:rPr>
                <w:b w:val="0"/>
                <w:sz w:val="18"/>
                <w:szCs w:val="18"/>
                <w:lang w:val="tt-RU"/>
              </w:rPr>
              <w:t xml:space="preserve"> соответствии с разделом IV документации конкурентного отбора комиссия рассматривает и отклоняет предложения участников конкурентного отбора в случаях, если в составе предложения участников конкурентного отбора не представлены требования, установленные в</w:t>
            </w:r>
            <w:r>
              <w:rPr>
                <w:b w:val="0"/>
                <w:sz w:val="18"/>
                <w:szCs w:val="18"/>
                <w:lang w:val="tt-RU"/>
              </w:rPr>
              <w:t xml:space="preserve"> извещении о проведении конкурентного отбора и закупочной документации.</w:t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</w:r>
          </w:p>
          <w:p>
            <w:pPr>
              <w:pStyle w:val="921"/>
              <w:ind w:firstLine="317"/>
              <w:jc w:val="both"/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</w:pPr>
            <w:r>
              <w:rPr>
                <w:b w:val="0"/>
                <w:sz w:val="18"/>
                <w:szCs w:val="18"/>
                <w:highlight w:val="none"/>
                <w:lang w:val="tt-RU"/>
              </w:rPr>
            </w:r>
            <w:r>
              <w:rPr>
                <w:b w:val="0"/>
                <w:sz w:val="18"/>
                <w:szCs w:val="18"/>
                <w:highlight w:val="none"/>
                <w:lang w:val="tt-RU"/>
              </w:rPr>
              <w:t xml:space="preserve">В техническом задании конкурентного отбора предусмотрена поставка товаров со следующими характеристиками:</w:t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</w:r>
          </w:p>
          <w:p>
            <w:pPr>
              <w:pStyle w:val="921"/>
              <w:numPr>
                <w:ilvl w:val="0"/>
                <w:numId w:val="23"/>
              </w:numPr>
              <w:jc w:val="both"/>
              <w:rPr>
                <w:b w:val="0"/>
                <w:bCs w:val="0"/>
                <w:sz w:val="18"/>
                <w:szCs w:val="18"/>
                <w:highlight w:val="none"/>
              </w:rPr>
            </w:pP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  <w:t xml:space="preserve">Национальное кондитерское изделие (Чак-чак) в брендированной упаковке:</w:t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</w:r>
            <w:r>
              <w:rPr>
                <w:b w:val="0"/>
                <w:bCs w:val="0"/>
                <w:sz w:val="18"/>
                <w:szCs w:val="18"/>
                <w:highlight w:val="none"/>
              </w:rPr>
            </w:r>
          </w:p>
          <w:p>
            <w:pPr>
              <w:pStyle w:val="921"/>
              <w:ind w:left="709" w:firstLine="0"/>
              <w:jc w:val="both"/>
              <w:rPr>
                <w:b w:val="0"/>
                <w:bCs w:val="0"/>
                <w:sz w:val="18"/>
                <w:szCs w:val="18"/>
                <w:highlight w:val="none"/>
              </w:rPr>
            </w:pP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  <w:t xml:space="preserve">Масса нетто: </w:t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  <w:t xml:space="preserve">не мене</w:t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  <w:t xml:space="preserve">е</w:t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  <w:t xml:space="preserve"> 500 г;</w:t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</w:r>
            <w:r>
              <w:rPr>
                <w:b w:val="0"/>
                <w:bCs w:val="0"/>
                <w:sz w:val="18"/>
                <w:szCs w:val="18"/>
                <w:highlight w:val="none"/>
              </w:rPr>
            </w:r>
          </w:p>
          <w:p>
            <w:pPr>
              <w:pStyle w:val="921"/>
              <w:ind w:left="709" w:firstLine="0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  <w:t xml:space="preserve">Пищевая ценность (в 100 г): белки </w:t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  <w:t xml:space="preserve">не менее</w:t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  <w:t xml:space="preserve"> 4,2 г, жиры </w:t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  <w:t xml:space="preserve">не более</w:t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  <w:t xml:space="preserve"> 41,1 г, углеводы </w:t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  <w:t xml:space="preserve">не более</w:t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  <w:t xml:space="preserve"> 59,0 г;</w:t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</w:r>
            <w:r>
              <w:rPr>
                <w:b w:val="0"/>
                <w:bCs w:val="0"/>
              </w:rPr>
            </w:r>
          </w:p>
          <w:p>
            <w:pPr>
              <w:pStyle w:val="921"/>
              <w:ind w:left="709" w:firstLine="0"/>
              <w:jc w:val="both"/>
              <w:rPr>
                <w:b w:val="0"/>
                <w:bCs w:val="0"/>
                <w:sz w:val="18"/>
                <w:szCs w:val="18"/>
                <w:highlight w:val="none"/>
              </w:rPr>
            </w:pP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  <w:t xml:space="preserve">Энергетическая ценность (в 100 г): </w:t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  <w:t xml:space="preserve">не менее</w:t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  <w:t xml:space="preserve"> 622,6 ккал / 2604,8 кДж;</w:t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</w:r>
            <w:r>
              <w:rPr>
                <w:b w:val="0"/>
                <w:bCs w:val="0"/>
                <w:sz w:val="18"/>
                <w:szCs w:val="18"/>
                <w:highlight w:val="none"/>
              </w:rPr>
            </w:r>
          </w:p>
          <w:p>
            <w:pPr>
              <w:pStyle w:val="921"/>
              <w:ind w:left="709" w:firstLine="0"/>
              <w:jc w:val="both"/>
              <w:rPr>
                <w:b w:val="0"/>
                <w:bCs w:val="0"/>
                <w:sz w:val="18"/>
                <w:szCs w:val="18"/>
                <w:highlight w:val="none"/>
              </w:rPr>
            </w:pP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  <w:t xml:space="preserve">Изделие состоит из отдельных шариков из теста (диаметром </w:t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  <w:t xml:space="preserve">не более</w:t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  <w:t xml:space="preserve"> 10 мм), равномерно залитых медово-сахарным сиропом;</w:t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</w:r>
            <w:r>
              <w:rPr>
                <w:b w:val="0"/>
                <w:bCs w:val="0"/>
                <w:sz w:val="18"/>
                <w:szCs w:val="18"/>
                <w:highlight w:val="none"/>
              </w:rPr>
            </w:r>
          </w:p>
          <w:p>
            <w:pPr>
              <w:pStyle w:val="921"/>
              <w:ind w:left="709" w:firstLine="0"/>
              <w:jc w:val="both"/>
              <w:rPr>
                <w:b w:val="0"/>
                <w:bCs w:val="0"/>
                <w:sz w:val="18"/>
                <w:szCs w:val="18"/>
                <w:highlight w:val="none"/>
              </w:rPr>
            </w:pP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  <w:t xml:space="preserve">Остаточный срок годности </w:t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  <w:t xml:space="preserve">не менее </w:t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  <w:t xml:space="preserve">120 дней на момент поставки.</w:t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</w:r>
          </w:p>
          <w:p>
            <w:pPr>
              <w:pStyle w:val="921"/>
              <w:numPr>
                <w:ilvl w:val="0"/>
                <w:numId w:val="23"/>
              </w:numPr>
              <w:jc w:val="both"/>
              <w:tabs>
                <w:tab w:val="clear" w:pos="0" w:leader="none"/>
              </w:tabs>
              <w:rPr>
                <w:b w:val="0"/>
                <w:bCs w:val="0"/>
                <w:sz w:val="18"/>
                <w:szCs w:val="18"/>
                <w:highlight w:val="none"/>
                <w14:ligatures w14:val="none"/>
              </w:rPr>
            </w:pP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  <w:t xml:space="preserve">Национальное кондитерское изделие (Баурсак) в брендированной упаковке:</w:t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  <w14:ligatures w14:val="none"/>
              </w:rPr>
            </w:r>
            <w:r>
              <w:rPr>
                <w:b w:val="0"/>
                <w:bCs w:val="0"/>
                <w:sz w:val="18"/>
                <w:szCs w:val="18"/>
                <w:highlight w:val="none"/>
                <w14:ligatures w14:val="none"/>
              </w:rPr>
            </w:r>
          </w:p>
          <w:p>
            <w:pPr>
              <w:pStyle w:val="921"/>
              <w:ind w:left="709" w:firstLine="0"/>
              <w:jc w:val="both"/>
              <w:tabs>
                <w:tab w:val="clear" w:pos="0" w:leader="none"/>
              </w:tabs>
              <w:rPr>
                <w:b w:val="0"/>
                <w:bCs w:val="0"/>
                <w:sz w:val="18"/>
                <w:szCs w:val="18"/>
                <w:highlight w:val="none"/>
                <w14:ligatures w14:val="none"/>
              </w:rPr>
            </w:pP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  <w:t xml:space="preserve">Масса нетто: </w:t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  <w:t xml:space="preserve">не менее</w:t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  <w:t xml:space="preserve"> 250 г;</w:t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  <w14:ligatures w14:val="none"/>
              </w:rPr>
            </w:r>
            <w:r>
              <w:rPr>
                <w:b w:val="0"/>
                <w:bCs w:val="0"/>
                <w:sz w:val="18"/>
                <w:szCs w:val="18"/>
                <w:highlight w:val="none"/>
                <w14:ligatures w14:val="none"/>
              </w:rPr>
            </w:r>
          </w:p>
          <w:p>
            <w:pPr>
              <w:pStyle w:val="921"/>
              <w:ind w:left="709" w:firstLine="0"/>
              <w:jc w:val="both"/>
              <w:tabs>
                <w:tab w:val="clear" w:pos="0" w:leader="none"/>
              </w:tabs>
              <w:rPr>
                <w:b w:val="0"/>
                <w:bCs w:val="0"/>
              </w:rPr>
            </w:pP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  <w:t xml:space="preserve">Пищевая ценность (в 100 г): белки </w:t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  <w:t xml:space="preserve">не менее</w:t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  <w:t xml:space="preserve"> 4,9 г, жиры </w:t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  <w:t xml:space="preserve">не более</w:t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  <w:t xml:space="preserve"> 31,4 г, углеводы </w:t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  <w:t xml:space="preserve">не более </w:t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  <w:t xml:space="preserve">40,3 г;</w:t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</w:r>
            <w:r>
              <w:rPr>
                <w:b w:val="0"/>
                <w:bCs w:val="0"/>
              </w:rPr>
            </w:r>
          </w:p>
          <w:p>
            <w:pPr>
              <w:pStyle w:val="921"/>
              <w:ind w:left="709" w:firstLine="0"/>
              <w:jc w:val="both"/>
              <w:tabs>
                <w:tab w:val="clear" w:pos="0" w:leader="none"/>
              </w:tabs>
              <w:rPr>
                <w:b w:val="0"/>
                <w:bCs w:val="0"/>
                <w:sz w:val="18"/>
                <w:szCs w:val="18"/>
                <w:highlight w:val="none"/>
                <w14:ligatures w14:val="none"/>
              </w:rPr>
            </w:pP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  <w:t xml:space="preserve">Энергетическая ценность (в 100 г): </w:t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  <w:t xml:space="preserve">не менее</w:t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  <w:t xml:space="preserve"> 566,0 ккал / 2368,1 кДж;</w:t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  <w14:ligatures w14:val="none"/>
              </w:rPr>
            </w:r>
            <w:r>
              <w:rPr>
                <w:b w:val="0"/>
                <w:bCs w:val="0"/>
                <w:sz w:val="18"/>
                <w:szCs w:val="18"/>
                <w:highlight w:val="none"/>
                <w14:ligatures w14:val="none"/>
              </w:rPr>
            </w:r>
          </w:p>
          <w:p>
            <w:pPr>
              <w:pStyle w:val="921"/>
              <w:ind w:left="709" w:firstLine="0"/>
              <w:jc w:val="both"/>
              <w:tabs>
                <w:tab w:val="clear" w:pos="0" w:leader="none"/>
              </w:tabs>
              <w:rPr>
                <w:b w:val="0"/>
                <w:bCs w:val="0"/>
                <w:sz w:val="18"/>
                <w:szCs w:val="18"/>
                <w:highlight w:val="none"/>
                <w14:ligatures w14:val="none"/>
              </w:rPr>
            </w:pP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  <w:t xml:space="preserve">Изделие состоит из отдельно обжаренных в масле палочек из теста (диаметром </w:t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  <w:t xml:space="preserve">не более</w:t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  <w:t xml:space="preserve"> 3 см, длиной </w:t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  <w:t xml:space="preserve">не более</w:t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  <w:t xml:space="preserve"> 7 см), равномерно залитых медово-сахарным сиропом;</w:t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  <w14:ligatures w14:val="none"/>
              </w:rPr>
            </w:r>
            <w:r>
              <w:rPr>
                <w:b w:val="0"/>
                <w:bCs w:val="0"/>
                <w:sz w:val="18"/>
                <w:szCs w:val="18"/>
                <w:highlight w:val="none"/>
                <w14:ligatures w14:val="none"/>
              </w:rPr>
            </w:r>
          </w:p>
          <w:p>
            <w:pPr>
              <w:pStyle w:val="921"/>
              <w:ind w:left="709" w:firstLine="0"/>
              <w:jc w:val="both"/>
              <w:tabs>
                <w:tab w:val="clear" w:pos="0" w:leader="none"/>
              </w:tabs>
              <w:rPr>
                <w:b w:val="0"/>
                <w:bCs w:val="0"/>
                <w:sz w:val="18"/>
                <w:szCs w:val="18"/>
                <w:highlight w:val="none"/>
                <w14:ligatures w14:val="none"/>
              </w:rPr>
            </w:pP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  <w:t xml:space="preserve">Остаточный срок годности </w:t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  <w:t xml:space="preserve">не менее</w:t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  <w:t xml:space="preserve"> 90 дней на момент поставки.</w:t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  <w14:ligatures w14:val="none"/>
              </w:rPr>
            </w:r>
            <w:r>
              <w:rPr>
                <w:b w:val="0"/>
                <w:bCs w:val="0"/>
                <w:sz w:val="18"/>
                <w:szCs w:val="18"/>
                <w:highlight w:val="none"/>
                <w14:ligatures w14:val="none"/>
              </w:rPr>
            </w:r>
          </w:p>
          <w:p>
            <w:pPr>
              <w:pStyle w:val="921"/>
              <w:ind w:left="709" w:firstLine="0"/>
              <w:jc w:val="both"/>
              <w:tabs>
                <w:tab w:val="clear" w:pos="0" w:leader="none"/>
              </w:tabs>
              <w:rPr>
                <w:b w:val="0"/>
                <w:bCs w:val="0"/>
                <w:sz w:val="18"/>
                <w:szCs w:val="18"/>
                <w:highlight w:val="none"/>
                <w:lang w:val="tt-RU"/>
                <w14:ligatures w14:val="none"/>
              </w:rPr>
            </w:pP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</w:r>
          </w:p>
          <w:p>
            <w:pPr>
              <w:pStyle w:val="921"/>
              <w:ind w:firstLine="317"/>
              <w:jc w:val="both"/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</w:pPr>
            <w:r>
              <w:rPr>
                <w:b w:val="0"/>
                <w:sz w:val="18"/>
                <w:szCs w:val="18"/>
                <w:highlight w:val="none"/>
                <w:lang w:val="tt-RU"/>
              </w:rPr>
            </w:r>
            <w:r>
              <w:rPr>
                <w:b w:val="0"/>
                <w:sz w:val="18"/>
                <w:szCs w:val="18"/>
                <w:highlight w:val="none"/>
                <w:lang w:val="tt-RU"/>
              </w:rPr>
              <w:t xml:space="preserve">В составе заявки участника закупки не представлены конкретные характеристики товара, а именно:</w:t>
            </w:r>
            <w:r>
              <w:rPr>
                <w:b w:val="0"/>
                <w:sz w:val="18"/>
                <w:szCs w:val="18"/>
                <w:highlight w:val="none"/>
                <w:lang w:val="tt-RU"/>
              </w:rPr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</w:r>
          </w:p>
          <w:p>
            <w:pPr>
              <w:pStyle w:val="921"/>
              <w:numPr>
                <w:ilvl w:val="0"/>
                <w:numId w:val="27"/>
              </w:numPr>
              <w:jc w:val="both"/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</w:pPr>
            <w:r>
              <w:rPr>
                <w:b w:val="0"/>
                <w:sz w:val="18"/>
                <w:szCs w:val="18"/>
                <w:highlight w:val="none"/>
                <w:lang w:val="tt-RU"/>
              </w:rPr>
              <w:t xml:space="preserve">Национальное кондитерское изделие (Чак-чак) в брендированной упаковке:</w:t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</w:r>
          </w:p>
          <w:p>
            <w:pPr>
              <w:pStyle w:val="921"/>
              <w:ind w:left="709" w:firstLine="0"/>
              <w:jc w:val="both"/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</w:pPr>
            <w:r>
              <w:rPr>
                <w:b w:val="0"/>
                <w:sz w:val="18"/>
                <w:szCs w:val="18"/>
                <w:highlight w:val="none"/>
                <w:lang w:val="tt-RU"/>
              </w:rPr>
              <w:t xml:space="preserve">Масса нетто: </w:t>
            </w:r>
            <w:r>
              <w:rPr>
                <w:b/>
                <w:bCs/>
                <w:sz w:val="18"/>
                <w:szCs w:val="18"/>
                <w:highlight w:val="none"/>
                <w:lang w:val="tt-RU"/>
              </w:rPr>
              <w:t xml:space="preserve">не мене</w:t>
            </w:r>
            <w:r>
              <w:rPr>
                <w:b/>
                <w:bCs/>
                <w:sz w:val="18"/>
                <w:szCs w:val="18"/>
                <w:highlight w:val="none"/>
                <w:lang w:val="tt-RU"/>
              </w:rPr>
              <w:t xml:space="preserve">е</w:t>
            </w:r>
            <w:r>
              <w:rPr>
                <w:b w:val="0"/>
                <w:sz w:val="18"/>
                <w:szCs w:val="18"/>
                <w:highlight w:val="none"/>
                <w:lang w:val="tt-RU"/>
              </w:rPr>
              <w:t xml:space="preserve"> 500 г;</w:t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</w:r>
          </w:p>
          <w:p>
            <w:pPr>
              <w:pStyle w:val="921"/>
              <w:ind w:left="709" w:firstLine="0"/>
              <w:jc w:val="both"/>
            </w:pPr>
            <w:r>
              <w:rPr>
                <w:b w:val="0"/>
                <w:sz w:val="18"/>
                <w:szCs w:val="18"/>
                <w:highlight w:val="none"/>
                <w:lang w:val="tt-RU"/>
              </w:rPr>
              <w:t xml:space="preserve">Пищевая ценность (в 100 г): белки </w:t>
            </w:r>
            <w:r>
              <w:rPr>
                <w:b/>
                <w:bCs/>
                <w:sz w:val="18"/>
                <w:szCs w:val="18"/>
                <w:highlight w:val="none"/>
                <w:lang w:val="tt-RU"/>
              </w:rPr>
              <w:t xml:space="preserve">не менее</w:t>
            </w:r>
            <w:r>
              <w:rPr>
                <w:b w:val="0"/>
                <w:sz w:val="18"/>
                <w:szCs w:val="18"/>
                <w:highlight w:val="none"/>
                <w:lang w:val="tt-RU"/>
              </w:rPr>
              <w:t xml:space="preserve"> 4,2 г, жиры </w:t>
            </w:r>
            <w:r>
              <w:rPr>
                <w:b/>
                <w:bCs/>
                <w:sz w:val="18"/>
                <w:szCs w:val="18"/>
                <w:highlight w:val="none"/>
                <w:lang w:val="tt-RU"/>
              </w:rPr>
              <w:t xml:space="preserve">не более</w:t>
            </w:r>
            <w:r>
              <w:rPr>
                <w:b w:val="0"/>
                <w:sz w:val="18"/>
                <w:szCs w:val="18"/>
                <w:highlight w:val="none"/>
                <w:lang w:val="tt-RU"/>
              </w:rPr>
              <w:t xml:space="preserve"> 41,1 г, углеводы </w:t>
            </w:r>
            <w:r>
              <w:rPr>
                <w:b/>
                <w:bCs/>
                <w:sz w:val="18"/>
                <w:szCs w:val="18"/>
                <w:highlight w:val="none"/>
                <w:lang w:val="tt-RU"/>
              </w:rPr>
              <w:t xml:space="preserve">не более</w:t>
            </w:r>
            <w:r>
              <w:rPr>
                <w:b w:val="0"/>
                <w:sz w:val="18"/>
                <w:szCs w:val="18"/>
                <w:highlight w:val="none"/>
                <w:lang w:val="tt-RU"/>
              </w:rPr>
              <w:t xml:space="preserve"> 59,0 г;</w:t>
            </w:r>
            <w:r/>
            <w:r/>
          </w:p>
          <w:p>
            <w:pPr>
              <w:pStyle w:val="921"/>
              <w:ind w:left="709" w:firstLine="0"/>
              <w:jc w:val="both"/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</w:pPr>
            <w:r>
              <w:rPr>
                <w:b w:val="0"/>
                <w:sz w:val="18"/>
                <w:szCs w:val="18"/>
                <w:highlight w:val="none"/>
                <w:lang w:val="tt-RU"/>
              </w:rPr>
              <w:t xml:space="preserve">Энергетическая ценность (в 100 г): </w:t>
            </w:r>
            <w:r>
              <w:rPr>
                <w:b/>
                <w:bCs/>
                <w:sz w:val="18"/>
                <w:szCs w:val="18"/>
                <w:highlight w:val="none"/>
                <w:lang w:val="tt-RU"/>
              </w:rPr>
              <w:t xml:space="preserve">не менее</w:t>
            </w:r>
            <w:r>
              <w:rPr>
                <w:b w:val="0"/>
                <w:sz w:val="18"/>
                <w:szCs w:val="18"/>
                <w:highlight w:val="none"/>
                <w:lang w:val="tt-RU"/>
              </w:rPr>
              <w:t xml:space="preserve"> 622,6 ккал / 2604,8 кДж;</w:t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</w:r>
          </w:p>
          <w:p>
            <w:pPr>
              <w:pStyle w:val="921"/>
              <w:ind w:left="709" w:firstLine="0"/>
              <w:jc w:val="both"/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</w:pPr>
            <w:r>
              <w:rPr>
                <w:b w:val="0"/>
                <w:sz w:val="18"/>
                <w:szCs w:val="18"/>
                <w:highlight w:val="none"/>
                <w:lang w:val="tt-RU"/>
              </w:rPr>
            </w:r>
            <w:r>
              <w:rPr>
                <w:b w:val="0"/>
                <w:sz w:val="18"/>
                <w:szCs w:val="18"/>
                <w:highlight w:val="none"/>
                <w:lang w:val="tt-RU"/>
              </w:rPr>
              <w:t xml:space="preserve">Изделие состоит из отдельных шариков из теста (диаметром </w:t>
            </w:r>
            <w:r>
              <w:rPr>
                <w:b/>
                <w:bCs/>
                <w:sz w:val="18"/>
                <w:szCs w:val="18"/>
                <w:highlight w:val="none"/>
                <w:lang w:val="tt-RU"/>
              </w:rPr>
              <w:t xml:space="preserve">не более</w:t>
            </w:r>
            <w:r>
              <w:rPr>
                <w:b w:val="0"/>
                <w:sz w:val="18"/>
                <w:szCs w:val="18"/>
                <w:highlight w:val="none"/>
                <w:lang w:val="tt-RU"/>
              </w:rPr>
              <w:t xml:space="preserve"> 10 мм), равномерно залитых медово-сахарным сиропом;</w:t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</w:r>
          </w:p>
          <w:p>
            <w:pPr>
              <w:pStyle w:val="921"/>
              <w:ind w:left="709" w:firstLine="0"/>
              <w:jc w:val="both"/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</w:pPr>
            <w:r>
              <w:rPr>
                <w:b w:val="0"/>
                <w:sz w:val="18"/>
                <w:szCs w:val="18"/>
                <w:highlight w:val="none"/>
                <w:lang w:val="tt-RU"/>
              </w:rPr>
            </w:r>
            <w:r>
              <w:rPr>
                <w:b w:val="0"/>
                <w:sz w:val="18"/>
                <w:szCs w:val="18"/>
                <w:highlight w:val="none"/>
                <w:lang w:val="tt-RU"/>
              </w:rPr>
              <w:t xml:space="preserve">Остаточный срок годности </w:t>
            </w:r>
            <w:r>
              <w:rPr>
                <w:b/>
                <w:bCs/>
                <w:sz w:val="18"/>
                <w:szCs w:val="18"/>
                <w:highlight w:val="none"/>
                <w:lang w:val="tt-RU"/>
              </w:rPr>
              <w:t xml:space="preserve">не менее </w:t>
            </w:r>
            <w:r>
              <w:rPr>
                <w:b w:val="0"/>
                <w:sz w:val="18"/>
                <w:szCs w:val="18"/>
                <w:highlight w:val="none"/>
                <w:lang w:val="tt-RU"/>
              </w:rPr>
              <w:t xml:space="preserve">120 дней на момент поставки.</w:t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</w:r>
          </w:p>
          <w:p>
            <w:pPr>
              <w:pStyle w:val="921"/>
              <w:numPr>
                <w:ilvl w:val="0"/>
                <w:numId w:val="27"/>
              </w:numPr>
              <w:jc w:val="both"/>
              <w:tabs>
                <w:tab w:val="clear" w:pos="0" w:leader="none"/>
              </w:tabs>
              <w:rPr>
                <w:b w:val="0"/>
                <w:bCs w:val="0"/>
                <w:sz w:val="18"/>
                <w:szCs w:val="18"/>
                <w:highlight w:val="none"/>
                <w:lang w:val="tt-RU"/>
                <w14:ligatures w14:val="none"/>
              </w:rPr>
            </w:pP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  <w:t xml:space="preserve">Национальное кондитерское изделие (Баурсак) в брендированной упаковке:</w:t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  <w14:ligatures w14:val="none"/>
              </w:rPr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  <w14:ligatures w14:val="none"/>
              </w:rPr>
            </w:r>
          </w:p>
          <w:p>
            <w:pPr>
              <w:pStyle w:val="921"/>
              <w:ind w:left="709" w:firstLine="0"/>
              <w:jc w:val="both"/>
              <w:tabs>
                <w:tab w:val="clear" w:pos="0" w:leader="none"/>
              </w:tabs>
              <w:rPr>
                <w:b w:val="0"/>
                <w:bCs w:val="0"/>
                <w:sz w:val="18"/>
                <w:szCs w:val="18"/>
                <w:highlight w:val="none"/>
                <w:lang w:val="tt-RU"/>
                <w14:ligatures w14:val="none"/>
              </w:rPr>
            </w:pP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  <w:t xml:space="preserve">Масса нетто: </w:t>
            </w:r>
            <w:r>
              <w:rPr>
                <w:b/>
                <w:bCs/>
                <w:sz w:val="18"/>
                <w:szCs w:val="18"/>
                <w:highlight w:val="none"/>
                <w:lang w:val="tt-RU"/>
              </w:rPr>
              <w:t xml:space="preserve">не менее</w:t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  <w:t xml:space="preserve"> 250 г;</w:t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  <w14:ligatures w14:val="none"/>
              </w:rPr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  <w14:ligatures w14:val="none"/>
              </w:rPr>
            </w:r>
          </w:p>
          <w:p>
            <w:pPr>
              <w:pStyle w:val="921"/>
              <w:ind w:left="709" w:firstLine="0"/>
              <w:jc w:val="both"/>
              <w:tabs>
                <w:tab w:val="clear" w:pos="0" w:leader="none"/>
              </w:tabs>
            </w:pP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  <w:t xml:space="preserve">Пищевая ценность (в 100 г): белки </w:t>
            </w:r>
            <w:r>
              <w:rPr>
                <w:b/>
                <w:bCs/>
                <w:sz w:val="18"/>
                <w:szCs w:val="18"/>
                <w:highlight w:val="none"/>
                <w:lang w:val="tt-RU"/>
              </w:rPr>
              <w:t xml:space="preserve">не менее</w:t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  <w:t xml:space="preserve"> 4,9 г, жиры </w:t>
            </w:r>
            <w:r>
              <w:rPr>
                <w:b/>
                <w:bCs/>
                <w:sz w:val="18"/>
                <w:szCs w:val="18"/>
                <w:highlight w:val="none"/>
                <w:lang w:val="tt-RU"/>
              </w:rPr>
              <w:t xml:space="preserve">не более</w:t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  <w:t xml:space="preserve"> 31,4 г, углеводы </w:t>
            </w:r>
            <w:r>
              <w:rPr>
                <w:b/>
                <w:bCs/>
                <w:sz w:val="18"/>
                <w:szCs w:val="18"/>
                <w:highlight w:val="none"/>
                <w:lang w:val="tt-RU"/>
              </w:rPr>
              <w:t xml:space="preserve">не более </w:t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  <w:t xml:space="preserve">40,3 г;</w:t>
            </w:r>
            <w:r/>
            <w:r/>
          </w:p>
          <w:p>
            <w:pPr>
              <w:pStyle w:val="921"/>
              <w:ind w:left="709" w:firstLine="0"/>
              <w:jc w:val="both"/>
              <w:tabs>
                <w:tab w:val="clear" w:pos="0" w:leader="none"/>
              </w:tabs>
              <w:rPr>
                <w:b w:val="0"/>
                <w:bCs w:val="0"/>
                <w:sz w:val="18"/>
                <w:szCs w:val="18"/>
                <w:highlight w:val="none"/>
                <w:lang w:val="tt-RU"/>
                <w14:ligatures w14:val="none"/>
              </w:rPr>
            </w:pP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  <w:t xml:space="preserve">Энергетическая ценность (в 100 г): </w:t>
            </w:r>
            <w:r>
              <w:rPr>
                <w:b/>
                <w:bCs/>
                <w:sz w:val="18"/>
                <w:szCs w:val="18"/>
                <w:highlight w:val="none"/>
                <w:lang w:val="tt-RU"/>
              </w:rPr>
              <w:t xml:space="preserve">не менее</w:t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  <w:t xml:space="preserve"> 566,0 ккал / 2368,1 кДж;</w:t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  <w14:ligatures w14:val="none"/>
              </w:rPr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  <w14:ligatures w14:val="none"/>
              </w:rPr>
            </w:r>
          </w:p>
          <w:p>
            <w:pPr>
              <w:pStyle w:val="921"/>
              <w:ind w:left="709" w:firstLine="0"/>
              <w:jc w:val="both"/>
              <w:tabs>
                <w:tab w:val="clear" w:pos="0" w:leader="none"/>
              </w:tabs>
              <w:rPr>
                <w:b w:val="0"/>
                <w:bCs w:val="0"/>
                <w:sz w:val="18"/>
                <w:szCs w:val="18"/>
                <w:highlight w:val="none"/>
                <w:lang w:val="tt-RU"/>
                <w14:ligatures w14:val="none"/>
              </w:rPr>
            </w:pP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  <w:t xml:space="preserve">Изделие состоит из отдельно обжаренных в масле палочек из теста (диаметром </w:t>
            </w:r>
            <w:r>
              <w:rPr>
                <w:b/>
                <w:bCs/>
                <w:sz w:val="18"/>
                <w:szCs w:val="18"/>
                <w:highlight w:val="none"/>
                <w:lang w:val="tt-RU"/>
              </w:rPr>
              <w:t xml:space="preserve">не более</w:t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  <w:t xml:space="preserve"> 3 см, длиной </w:t>
            </w:r>
            <w:r>
              <w:rPr>
                <w:b/>
                <w:bCs/>
                <w:sz w:val="18"/>
                <w:szCs w:val="18"/>
                <w:highlight w:val="none"/>
                <w:lang w:val="tt-RU"/>
              </w:rPr>
              <w:t xml:space="preserve">не более</w:t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  <w:t xml:space="preserve"> 7 см), равномерно залитых медово-сахарным сиропом;</w:t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  <w14:ligatures w14:val="none"/>
              </w:rPr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  <w14:ligatures w14:val="none"/>
              </w:rPr>
            </w:r>
          </w:p>
          <w:p>
            <w:pPr>
              <w:pStyle w:val="921"/>
              <w:ind w:firstLine="317"/>
              <w:jc w:val="both"/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</w:pP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  <w:t xml:space="preserve">Остаточный срок годности </w:t>
            </w:r>
            <w:r>
              <w:rPr>
                <w:b/>
                <w:bCs/>
                <w:sz w:val="18"/>
                <w:szCs w:val="18"/>
                <w:highlight w:val="none"/>
                <w:lang w:val="tt-RU"/>
              </w:rPr>
              <w:t xml:space="preserve">не менее</w:t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  <w:t xml:space="preserve"> 90 дней на момент поставки.</w:t>
            </w:r>
            <w:r/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  <w14:ligatures w14:val="none"/>
              </w:rPr>
            </w:r>
            <w:r>
              <w:rPr>
                <w:b w:val="0"/>
                <w:sz w:val="18"/>
                <w:szCs w:val="18"/>
                <w:highlight w:val="none"/>
                <w:lang w:val="tt-RU"/>
              </w:rPr>
            </w:r>
            <w:r>
              <w:rPr>
                <w:b w:val="0"/>
                <w:sz w:val="18"/>
                <w:szCs w:val="18"/>
                <w:highlight w:val="none"/>
                <w:lang w:val="tt-RU"/>
              </w:rPr>
            </w:r>
            <w:r>
              <w:rPr>
                <w:b w:val="0"/>
                <w:sz w:val="18"/>
                <w:szCs w:val="18"/>
                <w:highlight w:val="none"/>
                <w:lang w:val="tt-RU"/>
              </w:rPr>
            </w:r>
            <w:r>
              <w:rPr>
                <w:b w:val="0"/>
                <w:sz w:val="18"/>
                <w:szCs w:val="18"/>
                <w:highlight w:val="none"/>
                <w:lang w:val="tt-RU"/>
              </w:rPr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</w:r>
          </w:p>
        </w:tc>
      </w:tr>
    </w:tbl>
    <w:p>
      <w:pPr>
        <w:ind w:firstLine="142"/>
        <w:jc w:val="both"/>
        <w:widowControl w:val="off"/>
        <w:rPr>
          <w:sz w:val="20"/>
          <w:szCs w:val="20"/>
        </w:rPr>
      </w:pPr>
      <w:r>
        <w:rPr>
          <w:sz w:val="20"/>
          <w:szCs w:val="20"/>
        </w:rPr>
        <w:t xml:space="preserve">9</w:t>
      </w:r>
      <w:r>
        <w:rPr>
          <w:sz w:val="20"/>
          <w:szCs w:val="20"/>
        </w:rPr>
        <w:t xml:space="preserve">. </w:t>
      </w:r>
      <w:r>
        <w:rPr>
          <w:sz w:val="20"/>
          <w:szCs w:val="20"/>
        </w:rPr>
        <w:t xml:space="preserve">В связи с тем, что комиссией принято реш</w:t>
      </w:r>
      <w:r>
        <w:rPr>
          <w:sz w:val="20"/>
          <w:szCs w:val="20"/>
        </w:rPr>
        <w:t xml:space="preserve">ение об отклонении предложения </w:t>
      </w:r>
      <w:r>
        <w:rPr>
          <w:sz w:val="20"/>
          <w:szCs w:val="20"/>
        </w:rPr>
        <w:t xml:space="preserve">единственного участника конкурентного отбора, признать конкурентный отбор </w:t>
      </w:r>
      <w:r>
        <w:rPr>
          <w:sz w:val="20"/>
          <w:szCs w:val="20"/>
        </w:rPr>
        <w:t xml:space="preserve">№ </w:t>
      </w:r>
      <w:r>
        <w:rPr>
          <w:b w:val="0"/>
          <w:bCs w:val="0"/>
          <w:sz w:val="20"/>
          <w:szCs w:val="20"/>
        </w:rPr>
      </w:r>
      <w:r>
        <w:rPr>
          <w:b w:val="0"/>
          <w:bCs w:val="0"/>
          <w:sz w:val="20"/>
          <w:szCs w:val="20"/>
        </w:rPr>
        <w:t xml:space="preserve">0011326017DP</w:t>
      </w:r>
      <w:r/>
      <w:r>
        <w:rPr>
          <w:b w:val="0"/>
          <w:bCs w:val="0"/>
          <w:sz w:val="20"/>
          <w:szCs w:val="20"/>
        </w:rPr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несостоявшимся</w:t>
      </w:r>
      <w:r>
        <w:rPr>
          <w:sz w:val="20"/>
          <w:szCs w:val="20"/>
        </w:rPr>
        <w:t xml:space="preserve">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jc w:val="both"/>
        <w:widowControl w:val="off"/>
        <w:rPr>
          <w:sz w:val="20"/>
          <w:szCs w:val="20"/>
        </w:rPr>
      </w:pPr>
      <w:r>
        <w:rPr>
          <w:sz w:val="20"/>
          <w:szCs w:val="20"/>
        </w:rPr>
        <w:t xml:space="preserve">  10</w:t>
      </w:r>
      <w:r>
        <w:rPr>
          <w:sz w:val="20"/>
          <w:szCs w:val="20"/>
        </w:rPr>
        <w:t xml:space="preserve">.</w:t>
      </w:r>
      <w:r>
        <w:rPr>
          <w:sz w:val="20"/>
          <w:szCs w:val="20"/>
        </w:rPr>
        <w:t xml:space="preserve"> Настоящий протокол подлежит</w:t>
      </w:r>
      <w:r>
        <w:rPr>
          <w:sz w:val="20"/>
          <w:szCs w:val="20"/>
        </w:rPr>
        <w:t xml:space="preserve"> размещению на электронной торговой площадке </w:t>
      </w:r>
      <w:r>
        <w:rPr>
          <w:sz w:val="20"/>
          <w:szCs w:val="20"/>
        </w:rPr>
        <w:t xml:space="preserve">etpzakupki.tatar</w:t>
      </w:r>
      <w:r>
        <w:rPr>
          <w:sz w:val="20"/>
          <w:szCs w:val="20"/>
        </w:rPr>
        <w:t xml:space="preserve">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11</w:t>
      </w:r>
      <w:r>
        <w:rPr>
          <w:sz w:val="20"/>
          <w:szCs w:val="20"/>
        </w:rPr>
        <w:t xml:space="preserve">.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Подписи</w:t>
      </w:r>
      <w:r>
        <w:rPr>
          <w:sz w:val="20"/>
          <w:szCs w:val="20"/>
        </w:rPr>
        <w:t xml:space="preserve">:</w:t>
      </w:r>
      <w:r>
        <w:rPr>
          <w:sz w:val="20"/>
          <w:szCs w:val="20"/>
        </w:rPr>
      </w:r>
      <w:r>
        <w:rPr>
          <w:sz w:val="20"/>
          <w:szCs w:val="20"/>
        </w:rPr>
      </w:r>
    </w:p>
    <w:tbl>
      <w:tblPr>
        <w:tblpPr w:horzAnchor="text" w:tblpXSpec="left" w:vertAnchor="text" w:tblpY="1" w:leftFromText="180" w:topFromText="0" w:rightFromText="180" w:bottomFromText="0"/>
        <w:tblW w:w="10890" w:type="dxa"/>
        <w:tblLayout w:type="fixed"/>
        <w:tblLook w:val="04A0" w:firstRow="1" w:lastRow="0" w:firstColumn="1" w:lastColumn="0" w:noHBand="0" w:noVBand="1"/>
      </w:tblPr>
      <w:tblGrid>
        <w:gridCol w:w="1951"/>
        <w:gridCol w:w="6669"/>
        <w:gridCol w:w="2270"/>
      </w:tblGrid>
      <w:tr>
        <w:tblPrEx/>
        <w:trPr>
          <w:trHeight w:val="707"/>
        </w:trPr>
        <w:tc>
          <w:tcPr>
            <w:tcW w:w="1951" w:type="dxa"/>
            <w:textDirection w:val="lrTb"/>
            <w:noWrap w:val="false"/>
          </w:tcPr>
          <w:p>
            <w:pPr>
              <w:widowControl w:val="o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</w:t>
            </w:r>
            <w:r>
              <w:rPr>
                <w:sz w:val="16"/>
                <w:szCs w:val="16"/>
              </w:rPr>
              <w:t xml:space="preserve">редседател</w:t>
            </w:r>
            <w:r>
              <w:rPr>
                <w:sz w:val="16"/>
                <w:szCs w:val="16"/>
              </w:rPr>
              <w:t xml:space="preserve">ь комиссии: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W w:w="6669" w:type="dxa"/>
            <w:textDirection w:val="lrTb"/>
            <w:noWrap w:val="false"/>
          </w:tcPr>
          <w:p>
            <w:pPr>
              <w:widowControl w:val="o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Заместитель председателя Государственного комитета Республики Татарстан по закупкам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widowControl w:val="o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М.С. Алмазова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пунктами </w:t>
            </w:r>
            <w:r>
              <w:rPr>
                <w:sz w:val="16"/>
                <w:szCs w:val="16"/>
              </w:rPr>
              <w:t xml:space="preserve">8.1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t xml:space="preserve">9</w:t>
            </w:r>
            <w:r>
              <w:rPr>
                <w:sz w:val="16"/>
                <w:szCs w:val="16"/>
              </w:rPr>
              <w:t xml:space="preserve"> согласен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W w:w="2270" w:type="dxa"/>
            <w:vAlign w:val="bottom"/>
            <w:textDirection w:val="lrTb"/>
            <w:noWrap w:val="false"/>
          </w:tcPr>
          <w:p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_________________________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(подпись)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</w:tr>
      <w:tr>
        <w:tblPrEx/>
        <w:trPr>
          <w:trHeight w:val="829"/>
        </w:trPr>
        <w:tc>
          <w:tcPr>
            <w:tcW w:w="1951" w:type="dxa"/>
            <w:textDirection w:val="lrTb"/>
            <w:noWrap w:val="false"/>
          </w:tcPr>
          <w:p>
            <w:pPr>
              <w:widowControl w:val="o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Члены комиссии: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W w:w="6669" w:type="dxa"/>
            <w:textDirection w:val="lrTb"/>
            <w:noWrap w:val="false"/>
          </w:tcPr>
          <w:p>
            <w:pPr>
              <w:widowControl w:val="o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Функциональный менеджер финансового управления АНО «Дирекция спортивных и социальных проектов»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widowControl w:val="o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Р.Г. </w:t>
            </w:r>
            <w:r>
              <w:rPr>
                <w:sz w:val="16"/>
                <w:szCs w:val="16"/>
              </w:rPr>
              <w:t xml:space="preserve">Чакалова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widowControl w:val="o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пунктами 8.1, 9</w:t>
            </w:r>
            <w:r>
              <w:rPr>
                <w:sz w:val="16"/>
                <w:szCs w:val="16"/>
              </w:rPr>
              <w:t xml:space="preserve"> согласен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W w:w="2270" w:type="dxa"/>
            <w:vAlign w:val="bottom"/>
            <w:textDirection w:val="lrTb"/>
            <w:noWrap w:val="false"/>
          </w:tcPr>
          <w:p>
            <w:pPr>
              <w:jc w:val="center"/>
              <w:widowControl w:val="o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_________________________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jc w:val="center"/>
              <w:widowControl w:val="o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(подпись)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</w:tr>
      <w:tr>
        <w:tblPrEx/>
        <w:trPr>
          <w:trHeight w:val="740"/>
        </w:trPr>
        <w:tc>
          <w:tcPr>
            <w:tcW w:w="1951" w:type="dxa"/>
            <w:textDirection w:val="lrTb"/>
            <w:noWrap w:val="false"/>
          </w:tcPr>
          <w:p>
            <w:pPr>
              <w:widowControl w:val="o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W w:w="6669" w:type="dxa"/>
            <w:textDirection w:val="lrTb"/>
            <w:noWrap w:val="false"/>
          </w:tcPr>
          <w:p>
            <w:pPr>
              <w:widowControl w:val="o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Ведущий с</w:t>
            </w:r>
            <w:r>
              <w:rPr>
                <w:sz w:val="16"/>
                <w:szCs w:val="16"/>
              </w:rPr>
              <w:t xml:space="preserve">пециалист</w:t>
            </w:r>
            <w:r>
              <w:rPr>
                <w:sz w:val="16"/>
                <w:szCs w:val="16"/>
              </w:rPr>
              <w:t xml:space="preserve"> отдела методологического сопровождения закупок Государственного комитета Республики Татарстан по закупкам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widowControl w:val="o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Э.Р. Гаязова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widowControl w:val="o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пунктами 8.1, 9</w:t>
            </w:r>
            <w:r>
              <w:rPr>
                <w:sz w:val="16"/>
                <w:szCs w:val="16"/>
              </w:rPr>
              <w:t xml:space="preserve"> согласен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widowControl w:val="o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W w:w="2270" w:type="dxa"/>
            <w:vAlign w:val="bottom"/>
            <w:textDirection w:val="lrTb"/>
            <w:noWrap w:val="false"/>
          </w:tcPr>
          <w:p>
            <w:pPr>
              <w:jc w:val="center"/>
              <w:widowControl w:val="o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_________________________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jc w:val="center"/>
              <w:widowControl w:val="o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(подпись)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</w:tr>
      <w:tr>
        <w:tblPrEx/>
        <w:trPr>
          <w:trHeight w:val="712"/>
        </w:trPr>
        <w:tc>
          <w:tcPr>
            <w:tcW w:w="1951" w:type="dxa"/>
            <w:textDirection w:val="lrTb"/>
            <w:noWrap w:val="false"/>
          </w:tcPr>
          <w:p>
            <w:pPr>
              <w:widowControl w:val="o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W w:w="6669" w:type="dxa"/>
            <w:textDirection w:val="lrTb"/>
            <w:noWrap w:val="false"/>
          </w:tcPr>
          <w:p>
            <w:pPr>
              <w:widowControl w:val="off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 xml:space="preserve">Ведущий специалист Государственного ко</w:t>
            </w:r>
            <w:r>
              <w:rPr>
                <w:sz w:val="16"/>
                <w:szCs w:val="18"/>
              </w:rPr>
              <w:t xml:space="preserve">митета Республики Татарстан по закупкам</w:t>
            </w:r>
            <w:r>
              <w:rPr>
                <w:sz w:val="16"/>
                <w:szCs w:val="18"/>
              </w:rPr>
            </w:r>
            <w:r>
              <w:rPr>
                <w:sz w:val="16"/>
                <w:szCs w:val="18"/>
              </w:rPr>
            </w:r>
          </w:p>
          <w:p>
            <w:pPr>
              <w:widowControl w:val="off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 xml:space="preserve">Г.Р. Юсупова</w:t>
            </w:r>
            <w:r>
              <w:rPr>
                <w:sz w:val="16"/>
                <w:szCs w:val="18"/>
              </w:rPr>
            </w:r>
            <w:r>
              <w:rPr>
                <w:sz w:val="16"/>
                <w:szCs w:val="18"/>
              </w:rPr>
            </w:r>
          </w:p>
          <w:p>
            <w:pPr>
              <w:widowControl w:val="o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пунктами 8.1, 9</w:t>
            </w:r>
            <w:r>
              <w:rPr>
                <w:sz w:val="16"/>
                <w:szCs w:val="16"/>
              </w:rPr>
              <w:t xml:space="preserve"> согласен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widowControl w:val="off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</w:r>
            <w:r>
              <w:rPr>
                <w:sz w:val="16"/>
                <w:szCs w:val="18"/>
              </w:rPr>
            </w:r>
            <w:r>
              <w:rPr>
                <w:sz w:val="16"/>
                <w:szCs w:val="18"/>
              </w:rPr>
            </w:r>
          </w:p>
        </w:tc>
        <w:tc>
          <w:tcPr>
            <w:tcW w:w="2270" w:type="dxa"/>
            <w:vAlign w:val="bottom"/>
            <w:textDirection w:val="lrTb"/>
            <w:noWrap w:val="false"/>
          </w:tcPr>
          <w:p>
            <w:pPr>
              <w:jc w:val="center"/>
              <w:widowControl w:val="o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_________________________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jc w:val="center"/>
              <w:widowControl w:val="o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(подпись)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</w:tr>
      <w:tr>
        <w:tblPrEx/>
        <w:trPr>
          <w:trHeight w:val="712"/>
        </w:trPr>
        <w:tc>
          <w:tcPr>
            <w:tcW w:w="1951" w:type="dxa"/>
            <w:textDirection w:val="lrTb"/>
            <w:noWrap w:val="false"/>
          </w:tcPr>
          <w:p>
            <w:pPr>
              <w:widowControl w:val="o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W w:w="6669" w:type="dxa"/>
            <w:textDirection w:val="lrTb"/>
            <w:noWrap w:val="false"/>
          </w:tcPr>
          <w:p>
            <w:pPr>
              <w:widowControl w:val="off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 xml:space="preserve">Ведущий специалист Государственного ко</w:t>
            </w:r>
            <w:bookmarkStart w:id="0" w:name="_GoBack"/>
            <w:r/>
            <w:bookmarkEnd w:id="0"/>
            <w:r>
              <w:rPr>
                <w:sz w:val="16"/>
                <w:szCs w:val="18"/>
              </w:rPr>
              <w:t xml:space="preserve">митета Республики Татарстан по закупкам</w:t>
            </w:r>
            <w:r>
              <w:rPr>
                <w:sz w:val="16"/>
                <w:szCs w:val="18"/>
              </w:rPr>
            </w:r>
            <w:r>
              <w:rPr>
                <w:sz w:val="16"/>
                <w:szCs w:val="18"/>
              </w:rPr>
            </w:r>
          </w:p>
          <w:p>
            <w:pPr>
              <w:widowControl w:val="off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 xml:space="preserve">А.И. </w:t>
            </w:r>
            <w:r>
              <w:rPr>
                <w:sz w:val="16"/>
                <w:szCs w:val="18"/>
              </w:rPr>
              <w:t xml:space="preserve">Гайнуллин</w:t>
            </w:r>
            <w:r>
              <w:rPr>
                <w:sz w:val="16"/>
                <w:szCs w:val="18"/>
              </w:rPr>
            </w:r>
            <w:r>
              <w:rPr>
                <w:sz w:val="16"/>
                <w:szCs w:val="18"/>
              </w:rPr>
            </w:r>
          </w:p>
          <w:p>
            <w:pPr>
              <w:widowControl w:val="o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пунктами 8.1, 9</w:t>
            </w:r>
            <w:r>
              <w:rPr>
                <w:sz w:val="16"/>
                <w:szCs w:val="16"/>
              </w:rPr>
              <w:t xml:space="preserve"> согласен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widowControl w:val="off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</w:r>
            <w:r>
              <w:rPr>
                <w:sz w:val="16"/>
                <w:szCs w:val="18"/>
              </w:rPr>
            </w:r>
            <w:r>
              <w:rPr>
                <w:sz w:val="16"/>
                <w:szCs w:val="18"/>
              </w:rPr>
            </w:r>
          </w:p>
        </w:tc>
        <w:tc>
          <w:tcPr>
            <w:tcW w:w="2270" w:type="dxa"/>
            <w:vAlign w:val="bottom"/>
            <w:textDirection w:val="lrTb"/>
            <w:noWrap w:val="false"/>
          </w:tcPr>
          <w:p>
            <w:pPr>
              <w:jc w:val="center"/>
              <w:widowControl w:val="o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_________________________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jc w:val="center"/>
              <w:widowControl w:val="o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(подпись)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</w:tr>
      <w:tr>
        <w:tblPrEx/>
        <w:trPr>
          <w:trHeight w:val="712"/>
        </w:trPr>
        <w:tc>
          <w:tcPr>
            <w:tcW w:w="1951" w:type="dxa"/>
            <w:textDirection w:val="lrTb"/>
            <w:noWrap w:val="false"/>
          </w:tcPr>
          <w:p>
            <w:pPr>
              <w:widowControl w:val="o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Секретарь комиссии: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W w:w="6669" w:type="dxa"/>
            <w:textDirection w:val="lrTb"/>
            <w:noWrap w:val="false"/>
          </w:tcPr>
          <w:p>
            <w:pPr>
              <w:pStyle w:val="911"/>
              <w:widowControl w:val="o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Заместитель начальника отдела анализа и обеспечения централизованных закупок Государственного комитета Республики Татарстан по закупкам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911"/>
              <w:widowControl w:val="o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Р.Р. Мухамедзянова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widowControl w:val="o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пунктами 8.1, 9</w:t>
            </w:r>
            <w:r>
              <w:rPr>
                <w:sz w:val="16"/>
                <w:szCs w:val="16"/>
              </w:rPr>
              <w:t xml:space="preserve"> согласе</w:t>
            </w:r>
            <w:r>
              <w:rPr>
                <w:sz w:val="16"/>
                <w:szCs w:val="16"/>
              </w:rPr>
              <w:t xml:space="preserve">н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W w:w="2270" w:type="dxa"/>
            <w:vAlign w:val="bottom"/>
            <w:textDirection w:val="lrTb"/>
            <w:noWrap w:val="false"/>
          </w:tcPr>
          <w:p>
            <w:pPr>
              <w:jc w:val="center"/>
              <w:widowControl w:val="o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_________________________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jc w:val="center"/>
              <w:widowControl w:val="o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(подпись)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</w:tr>
    </w:tbl>
    <w:p>
      <w:pPr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sectPr>
      <w:footerReference w:type="default" r:id="rId9"/>
      <w:footerReference w:type="even" r:id="rId10"/>
      <w:footnotePr/>
      <w:endnotePr/>
      <w:type w:val="nextPage"/>
      <w:pgSz w:w="11906" w:h="16838" w:orient="portrait"/>
      <w:pgMar w:top="567" w:right="360" w:bottom="395" w:left="360" w:header="346" w:footer="131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Courier New">
    <w:panose1 w:val="02070409020205020404"/>
  </w:font>
  <w:font w:name="TimesDL">
    <w:panose1 w:val="02000603000000000000"/>
  </w:font>
  <w:font w:name="Tahoma">
    <w:panose1 w:val="020B0604030504040204"/>
  </w:font>
  <w:font w:name="Arial Unicode MS">
    <w:panose1 w:val="020B060602020203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23"/>
      <w:rPr>
        <w:rStyle w:val="924"/>
        <w:sz w:val="16"/>
        <w:szCs w:val="16"/>
      </w:rPr>
      <w:framePr w:h="253" w:wrap="around" w:vAnchor="text" w:hAnchor="margin" w:xAlign="right" w:y="202" w:hRule="exact"/>
    </w:pPr>
    <w:r>
      <w:rPr>
        <w:sz w:val="16"/>
        <w:szCs w:val="16"/>
      </w:rPr>
    </w:r>
    <w:r>
      <w:rPr>
        <w:rStyle w:val="924"/>
        <w:sz w:val="16"/>
        <w:szCs w:val="16"/>
      </w:rPr>
    </w:r>
    <w:r>
      <w:rPr>
        <w:rStyle w:val="924"/>
        <w:sz w:val="16"/>
        <w:szCs w:val="16"/>
      </w:rPr>
    </w:r>
  </w:p>
  <w:p>
    <w:pPr>
      <w:pStyle w:val="923"/>
      <w:ind w:right="360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23"/>
      <w:rPr>
        <w:rStyle w:val="924"/>
      </w:rPr>
      <w:framePr w:wrap="around" w:vAnchor="text" w:hAnchor="margin" w:xAlign="right" w:y="1"/>
    </w:pPr>
    <w:r>
      <w:rPr>
        <w:rStyle w:val="924"/>
      </w:rPr>
      <w:fldChar w:fldCharType="begin"/>
    </w:r>
    <w:r>
      <w:rPr>
        <w:rStyle w:val="924"/>
      </w:rPr>
      <w:instrText xml:space="preserve">PAGE  </w:instrText>
    </w:r>
    <w:r>
      <w:rPr>
        <w:rStyle w:val="924"/>
      </w:rPr>
      <w:fldChar w:fldCharType="end"/>
    </w:r>
    <w:r>
      <w:rPr>
        <w:rStyle w:val="924"/>
      </w:rPr>
    </w:r>
    <w:r>
      <w:rPr>
        <w:rStyle w:val="924"/>
      </w:rPr>
    </w:r>
  </w:p>
  <w:p>
    <w:pPr>
      <w:pStyle w:val="923"/>
      <w:ind w:right="360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pStyle w:val="928"/>
      <w:isLgl w:val="false"/>
      <w:suff w:val="tab"/>
      <w:lvlText w:val="%1."/>
      <w:lvlJc w:val="left"/>
      <w:pPr>
        <w:ind w:left="643" w:hanging="360"/>
        <w:tabs>
          <w:tab w:val="num" w:pos="643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72" w:hanging="360"/>
        <w:tabs>
          <w:tab w:val="num" w:pos="972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" w:firstLine="0"/>
        <w:tabs>
          <w:tab w:val="num" w:pos="14" w:leader="none"/>
        </w:tabs>
      </w:pPr>
      <w:rPr>
        <w:rFonts w:hint="default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72" w:hanging="360"/>
        <w:tabs>
          <w:tab w:val="num" w:pos="972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74" w:hanging="360"/>
        <w:tabs>
          <w:tab w:val="num" w:pos="374" w:leader="none"/>
        </w:tabs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094" w:hanging="360"/>
        <w:tabs>
          <w:tab w:val="num" w:pos="1094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1814" w:hanging="180"/>
        <w:tabs>
          <w:tab w:val="num" w:pos="1814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534" w:hanging="360"/>
        <w:tabs>
          <w:tab w:val="num" w:pos="2534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254" w:hanging="360"/>
        <w:tabs>
          <w:tab w:val="num" w:pos="3254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3974" w:hanging="180"/>
        <w:tabs>
          <w:tab w:val="num" w:pos="3974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4694" w:hanging="360"/>
        <w:tabs>
          <w:tab w:val="num" w:pos="4694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414" w:hanging="360"/>
        <w:tabs>
          <w:tab w:val="num" w:pos="5414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134" w:hanging="180"/>
        <w:tabs>
          <w:tab w:val="num" w:pos="6134" w:leader="none"/>
        </w:tabs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812" w:hanging="360"/>
        <w:tabs>
          <w:tab w:val="num" w:pos="812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532" w:hanging="360"/>
        <w:tabs>
          <w:tab w:val="num" w:pos="1532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252" w:hanging="180"/>
        <w:tabs>
          <w:tab w:val="num" w:pos="2252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972" w:hanging="360"/>
        <w:tabs>
          <w:tab w:val="num" w:pos="2972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92" w:hanging="360"/>
        <w:tabs>
          <w:tab w:val="num" w:pos="3692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412" w:hanging="180"/>
        <w:tabs>
          <w:tab w:val="num" w:pos="4412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132" w:hanging="360"/>
        <w:tabs>
          <w:tab w:val="num" w:pos="5132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852" w:hanging="360"/>
        <w:tabs>
          <w:tab w:val="num" w:pos="5852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572" w:hanging="180"/>
        <w:tabs>
          <w:tab w:val="num" w:pos="6572" w:leader="none"/>
        </w:tabs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" w:firstLine="0"/>
        <w:tabs>
          <w:tab w:val="num" w:pos="14" w:leader="none"/>
        </w:tabs>
      </w:pPr>
      <w:rPr>
        <w:rFonts w:hint="default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74" w:hanging="360"/>
        <w:tabs>
          <w:tab w:val="num" w:pos="374" w:leader="none"/>
        </w:tabs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094" w:hanging="360"/>
        <w:tabs>
          <w:tab w:val="num" w:pos="1094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1814" w:hanging="180"/>
        <w:tabs>
          <w:tab w:val="num" w:pos="1814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534" w:hanging="360"/>
        <w:tabs>
          <w:tab w:val="num" w:pos="2534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254" w:hanging="360"/>
        <w:tabs>
          <w:tab w:val="num" w:pos="3254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3974" w:hanging="180"/>
        <w:tabs>
          <w:tab w:val="num" w:pos="3974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4694" w:hanging="360"/>
        <w:tabs>
          <w:tab w:val="num" w:pos="4694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414" w:hanging="360"/>
        <w:tabs>
          <w:tab w:val="num" w:pos="5414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134" w:hanging="180"/>
        <w:tabs>
          <w:tab w:val="num" w:pos="6134" w:leader="none"/>
        </w:tabs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" w:firstLine="0"/>
        <w:tabs>
          <w:tab w:val="num" w:pos="14" w:leader="none"/>
        </w:tabs>
      </w:pPr>
      <w:rPr>
        <w:rFonts w:hint="default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  <w:tabs>
          <w:tab w:val="num" w:pos="18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  <w:tabs>
          <w:tab w:val="num" w:pos="25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  <w:tabs>
          <w:tab w:val="num" w:pos="32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  <w:tabs>
          <w:tab w:val="num" w:pos="39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  <w:tabs>
          <w:tab w:val="num" w:pos="46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  <w:tabs>
          <w:tab w:val="num" w:pos="54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  <w:tabs>
          <w:tab w:val="num" w:pos="6120" w:leader="none"/>
        </w:tabs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72" w:hanging="360"/>
        <w:tabs>
          <w:tab w:val="num" w:pos="972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74" w:hanging="360"/>
        <w:tabs>
          <w:tab w:val="num" w:pos="374" w:leader="none"/>
        </w:tabs>
      </w:pPr>
      <w:rPr>
        <w:rFonts w:hint="default"/>
        <w:b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094" w:hanging="360"/>
        <w:tabs>
          <w:tab w:val="num" w:pos="1094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1814" w:hanging="180"/>
        <w:tabs>
          <w:tab w:val="num" w:pos="1814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534" w:hanging="360"/>
        <w:tabs>
          <w:tab w:val="num" w:pos="2534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254" w:hanging="360"/>
        <w:tabs>
          <w:tab w:val="num" w:pos="3254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3974" w:hanging="180"/>
        <w:tabs>
          <w:tab w:val="num" w:pos="3974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4694" w:hanging="360"/>
        <w:tabs>
          <w:tab w:val="num" w:pos="4694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414" w:hanging="360"/>
        <w:tabs>
          <w:tab w:val="num" w:pos="5414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134" w:hanging="180"/>
        <w:tabs>
          <w:tab w:val="num" w:pos="6134" w:leader="none"/>
        </w:tabs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">
    <w:multiLevelType w:val="hybridMultilevel"/>
    <w:lvl w:ilvl="0">
      <w:start w:val="1"/>
      <w:numFmt w:val="decimal"/>
      <w:pStyle w:val="933"/>
      <w:isLgl w:val="false"/>
      <w:suff w:val="tab"/>
      <w:lvlText w:val="%1."/>
      <w:lvlJc w:val="left"/>
      <w:pPr>
        <w:ind w:left="54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2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9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7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4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1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8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5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30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" w:firstLine="0"/>
        <w:tabs>
          <w:tab w:val="num" w:pos="14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72" w:hanging="360"/>
        <w:tabs>
          <w:tab w:val="num" w:pos="972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692" w:hanging="360"/>
        <w:tabs>
          <w:tab w:val="num" w:pos="1692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412" w:hanging="180"/>
        <w:tabs>
          <w:tab w:val="num" w:pos="2412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132" w:hanging="360"/>
        <w:tabs>
          <w:tab w:val="num" w:pos="3132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852" w:hanging="360"/>
        <w:tabs>
          <w:tab w:val="num" w:pos="3852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572" w:hanging="180"/>
        <w:tabs>
          <w:tab w:val="num" w:pos="4572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292" w:hanging="360"/>
        <w:tabs>
          <w:tab w:val="num" w:pos="5292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012" w:hanging="360"/>
        <w:tabs>
          <w:tab w:val="num" w:pos="6012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732" w:hanging="180"/>
        <w:tabs>
          <w:tab w:val="num" w:pos="6732" w:leader="none"/>
        </w:tabs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" w:firstLine="0"/>
        <w:tabs>
          <w:tab w:val="num" w:pos="14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  <w:tabs>
          <w:tab w:val="num" w:pos="18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  <w:tabs>
          <w:tab w:val="num" w:pos="25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  <w:tabs>
          <w:tab w:val="num" w:pos="32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  <w:tabs>
          <w:tab w:val="num" w:pos="39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  <w:tabs>
          <w:tab w:val="num" w:pos="46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  <w:tabs>
          <w:tab w:val="num" w:pos="54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  <w:tabs>
          <w:tab w:val="num" w:pos="6120" w:leader="none"/>
        </w:tabs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" w:firstLine="0"/>
        <w:tabs>
          <w:tab w:val="num" w:pos="14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2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4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46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18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0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2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4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06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786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2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2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num w:numId="1">
    <w:abstractNumId w:val="19"/>
  </w:num>
  <w:num w:numId="2">
    <w:abstractNumId w:val="11"/>
  </w:num>
  <w:num w:numId="3">
    <w:abstractNumId w:val="17"/>
  </w:num>
  <w:num w:numId="4">
    <w:abstractNumId w:val="7"/>
  </w:num>
  <w:num w:numId="5">
    <w:abstractNumId w:val="5"/>
  </w:num>
  <w:num w:numId="6">
    <w:abstractNumId w:val="1"/>
  </w:num>
  <w:num w:numId="7">
    <w:abstractNumId w:val="12"/>
  </w:num>
  <w:num w:numId="8">
    <w:abstractNumId w:val="18"/>
  </w:num>
  <w:num w:numId="9">
    <w:abstractNumId w:val="10"/>
  </w:num>
  <w:num w:numId="10">
    <w:abstractNumId w:val="20"/>
  </w:num>
  <w:num w:numId="11">
    <w:abstractNumId w:val="2"/>
  </w:num>
  <w:num w:numId="12">
    <w:abstractNumId w:val="16"/>
  </w:num>
  <w:num w:numId="13">
    <w:abstractNumId w:val="8"/>
  </w:num>
  <w:num w:numId="14">
    <w:abstractNumId w:val="13"/>
  </w:num>
  <w:num w:numId="15">
    <w:abstractNumId w:val="6"/>
  </w:num>
  <w:num w:numId="16">
    <w:abstractNumId w:val="9"/>
  </w:num>
  <w:num w:numId="17">
    <w:abstractNumId w:val="4"/>
  </w:num>
  <w:num w:numId="18">
    <w:abstractNumId w:val="3"/>
  </w:num>
  <w:num w:numId="19">
    <w:abstractNumId w:val="0"/>
  </w:num>
  <w:num w:numId="20">
    <w:abstractNumId w:val="15"/>
  </w:num>
  <w:num w:numId="21">
    <w:abstractNumId w:val="14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40">
    <w:name w:val="Heading 1 Char"/>
    <w:basedOn w:val="913"/>
    <w:link w:val="912"/>
    <w:uiPriority w:val="9"/>
    <w:rPr>
      <w:rFonts w:ascii="Arial" w:hAnsi="Arial" w:eastAsia="Arial" w:cs="Arial"/>
      <w:sz w:val="40"/>
      <w:szCs w:val="40"/>
    </w:rPr>
  </w:style>
  <w:style w:type="paragraph" w:styleId="741">
    <w:name w:val="Heading 2"/>
    <w:basedOn w:val="911"/>
    <w:next w:val="911"/>
    <w:link w:val="742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42">
    <w:name w:val="Heading 2 Char"/>
    <w:basedOn w:val="913"/>
    <w:link w:val="741"/>
    <w:uiPriority w:val="9"/>
    <w:rPr>
      <w:rFonts w:ascii="Arial" w:hAnsi="Arial" w:eastAsia="Arial" w:cs="Arial"/>
      <w:sz w:val="34"/>
    </w:rPr>
  </w:style>
  <w:style w:type="paragraph" w:styleId="743">
    <w:name w:val="Heading 3"/>
    <w:basedOn w:val="911"/>
    <w:next w:val="911"/>
    <w:link w:val="744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44">
    <w:name w:val="Heading 3 Char"/>
    <w:basedOn w:val="913"/>
    <w:link w:val="743"/>
    <w:uiPriority w:val="9"/>
    <w:rPr>
      <w:rFonts w:ascii="Arial" w:hAnsi="Arial" w:eastAsia="Arial" w:cs="Arial"/>
      <w:sz w:val="30"/>
      <w:szCs w:val="30"/>
    </w:rPr>
  </w:style>
  <w:style w:type="paragraph" w:styleId="745">
    <w:name w:val="Heading 4"/>
    <w:basedOn w:val="911"/>
    <w:next w:val="911"/>
    <w:link w:val="746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46">
    <w:name w:val="Heading 4 Char"/>
    <w:basedOn w:val="913"/>
    <w:link w:val="745"/>
    <w:uiPriority w:val="9"/>
    <w:rPr>
      <w:rFonts w:ascii="Arial" w:hAnsi="Arial" w:eastAsia="Arial" w:cs="Arial"/>
      <w:b/>
      <w:bCs/>
      <w:sz w:val="26"/>
      <w:szCs w:val="26"/>
    </w:rPr>
  </w:style>
  <w:style w:type="paragraph" w:styleId="747">
    <w:name w:val="Heading 5"/>
    <w:basedOn w:val="911"/>
    <w:next w:val="911"/>
    <w:link w:val="748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48">
    <w:name w:val="Heading 5 Char"/>
    <w:basedOn w:val="913"/>
    <w:link w:val="747"/>
    <w:uiPriority w:val="9"/>
    <w:rPr>
      <w:rFonts w:ascii="Arial" w:hAnsi="Arial" w:eastAsia="Arial" w:cs="Arial"/>
      <w:b/>
      <w:bCs/>
      <w:sz w:val="24"/>
      <w:szCs w:val="24"/>
    </w:rPr>
  </w:style>
  <w:style w:type="paragraph" w:styleId="749">
    <w:name w:val="Heading 6"/>
    <w:basedOn w:val="911"/>
    <w:next w:val="911"/>
    <w:link w:val="750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50">
    <w:name w:val="Heading 6 Char"/>
    <w:basedOn w:val="913"/>
    <w:link w:val="749"/>
    <w:uiPriority w:val="9"/>
    <w:rPr>
      <w:rFonts w:ascii="Arial" w:hAnsi="Arial" w:eastAsia="Arial" w:cs="Arial"/>
      <w:b/>
      <w:bCs/>
      <w:sz w:val="22"/>
      <w:szCs w:val="22"/>
    </w:rPr>
  </w:style>
  <w:style w:type="paragraph" w:styleId="751">
    <w:name w:val="Heading 7"/>
    <w:basedOn w:val="911"/>
    <w:next w:val="911"/>
    <w:link w:val="752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52">
    <w:name w:val="Heading 7 Char"/>
    <w:basedOn w:val="913"/>
    <w:link w:val="75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53">
    <w:name w:val="Heading 8"/>
    <w:basedOn w:val="911"/>
    <w:next w:val="911"/>
    <w:link w:val="754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54">
    <w:name w:val="Heading 8 Char"/>
    <w:basedOn w:val="913"/>
    <w:link w:val="753"/>
    <w:uiPriority w:val="9"/>
    <w:rPr>
      <w:rFonts w:ascii="Arial" w:hAnsi="Arial" w:eastAsia="Arial" w:cs="Arial"/>
      <w:i/>
      <w:iCs/>
      <w:sz w:val="22"/>
      <w:szCs w:val="22"/>
    </w:rPr>
  </w:style>
  <w:style w:type="paragraph" w:styleId="755">
    <w:name w:val="Heading 9"/>
    <w:basedOn w:val="911"/>
    <w:next w:val="911"/>
    <w:link w:val="75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56">
    <w:name w:val="Heading 9 Char"/>
    <w:basedOn w:val="913"/>
    <w:link w:val="755"/>
    <w:uiPriority w:val="9"/>
    <w:rPr>
      <w:rFonts w:ascii="Arial" w:hAnsi="Arial" w:eastAsia="Arial" w:cs="Arial"/>
      <w:i/>
      <w:iCs/>
      <w:sz w:val="21"/>
      <w:szCs w:val="21"/>
    </w:rPr>
  </w:style>
  <w:style w:type="paragraph" w:styleId="757">
    <w:name w:val="No Spacing"/>
    <w:uiPriority w:val="1"/>
    <w:qFormat/>
    <w:pPr>
      <w:spacing w:before="0" w:after="0" w:line="240" w:lineRule="auto"/>
    </w:pPr>
  </w:style>
  <w:style w:type="character" w:styleId="758">
    <w:name w:val="Title Char"/>
    <w:basedOn w:val="913"/>
    <w:link w:val="918"/>
    <w:uiPriority w:val="10"/>
    <w:rPr>
      <w:sz w:val="48"/>
      <w:szCs w:val="48"/>
    </w:rPr>
  </w:style>
  <w:style w:type="paragraph" w:styleId="759">
    <w:name w:val="Subtitle"/>
    <w:basedOn w:val="911"/>
    <w:next w:val="911"/>
    <w:link w:val="760"/>
    <w:uiPriority w:val="11"/>
    <w:qFormat/>
    <w:pPr>
      <w:spacing w:before="200" w:after="200"/>
    </w:pPr>
    <w:rPr>
      <w:sz w:val="24"/>
      <w:szCs w:val="24"/>
    </w:rPr>
  </w:style>
  <w:style w:type="character" w:styleId="760">
    <w:name w:val="Subtitle Char"/>
    <w:basedOn w:val="913"/>
    <w:link w:val="759"/>
    <w:uiPriority w:val="11"/>
    <w:rPr>
      <w:sz w:val="24"/>
      <w:szCs w:val="24"/>
    </w:rPr>
  </w:style>
  <w:style w:type="paragraph" w:styleId="761">
    <w:name w:val="Quote"/>
    <w:basedOn w:val="911"/>
    <w:next w:val="911"/>
    <w:link w:val="762"/>
    <w:uiPriority w:val="29"/>
    <w:qFormat/>
    <w:pPr>
      <w:ind w:left="720" w:right="720"/>
    </w:pPr>
    <w:rPr>
      <w:i/>
    </w:rPr>
  </w:style>
  <w:style w:type="character" w:styleId="762">
    <w:name w:val="Quote Char"/>
    <w:link w:val="761"/>
    <w:uiPriority w:val="29"/>
    <w:rPr>
      <w:i/>
    </w:rPr>
  </w:style>
  <w:style w:type="paragraph" w:styleId="763">
    <w:name w:val="Intense Quote"/>
    <w:basedOn w:val="911"/>
    <w:next w:val="911"/>
    <w:link w:val="764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64">
    <w:name w:val="Intense Quote Char"/>
    <w:link w:val="763"/>
    <w:uiPriority w:val="30"/>
    <w:rPr>
      <w:i/>
    </w:rPr>
  </w:style>
  <w:style w:type="character" w:styleId="765">
    <w:name w:val="Header Char"/>
    <w:basedOn w:val="913"/>
    <w:link w:val="931"/>
    <w:uiPriority w:val="99"/>
  </w:style>
  <w:style w:type="character" w:styleId="766">
    <w:name w:val="Footer Char"/>
    <w:basedOn w:val="913"/>
    <w:link w:val="923"/>
    <w:uiPriority w:val="99"/>
  </w:style>
  <w:style w:type="paragraph" w:styleId="767">
    <w:name w:val="Caption"/>
    <w:basedOn w:val="911"/>
    <w:next w:val="91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68">
    <w:name w:val="Caption Char"/>
    <w:basedOn w:val="767"/>
    <w:link w:val="923"/>
    <w:uiPriority w:val="99"/>
  </w:style>
  <w:style w:type="table" w:styleId="769">
    <w:name w:val="Table Grid Light"/>
    <w:basedOn w:val="91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70">
    <w:name w:val="Plain Table 1"/>
    <w:basedOn w:val="91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71">
    <w:name w:val="Plain Table 2"/>
    <w:basedOn w:val="91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72">
    <w:name w:val="Plain Table 3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3">
    <w:name w:val="Plain Table 4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Plain Table 5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75">
    <w:name w:val="Grid Table 1 Light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Grid Table 1 Light - Accent 1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Grid Table 1 Light - Accent 2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Grid Table 1 Light - Accent 3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Grid Table 1 Light - Accent 4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Grid Table 1 Light - Accent 5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Grid Table 1 Light - Accent 6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Grid Table 2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2 - Accent 1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Grid Table 2 - Accent 2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Grid Table 2 - Accent 3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Grid Table 2 - Accent 4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Grid Table 2 - Accent 5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Grid Table 2 - Accent 6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Grid Table 3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Grid Table 3 - Accent 1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Grid Table 3 - Accent 2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Grid Table 3 - Accent 3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Grid Table 3 - Accent 4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Grid Table 3 - Accent 5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Grid Table 3 - Accent 6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Grid Table 4"/>
    <w:basedOn w:val="91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97">
    <w:name w:val="Grid Table 4 - Accent 1"/>
    <w:basedOn w:val="91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8">
    <w:name w:val="Grid Table 4 - Accent 2"/>
    <w:basedOn w:val="91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9">
    <w:name w:val="Grid Table 4 - Accent 3"/>
    <w:basedOn w:val="91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0">
    <w:name w:val="Grid Table 4 - Accent 4"/>
    <w:basedOn w:val="91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01">
    <w:name w:val="Grid Table 4 - Accent 5"/>
    <w:basedOn w:val="91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02">
    <w:name w:val="Grid Table 4 - Accent 6"/>
    <w:basedOn w:val="91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03">
    <w:name w:val="Grid Table 5 Dark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04">
    <w:name w:val="Grid Table 5 Dark- Accent 1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05">
    <w:name w:val="Grid Table 5 Dark - Accent 2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06">
    <w:name w:val="Grid Table 5 Dark - Accent 3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07">
    <w:name w:val="Grid Table 5 Dark- Accent 4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08">
    <w:name w:val="Grid Table 5 Dark - Accent 5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09">
    <w:name w:val="Grid Table 5 Dark - Accent 6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10">
    <w:name w:val="Grid Table 6 Colorful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11">
    <w:name w:val="Grid Table 6 Colorful - Accent 1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12">
    <w:name w:val="Grid Table 6 Colorful - Accent 2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13">
    <w:name w:val="Grid Table 6 Colorful - Accent 3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14">
    <w:name w:val="Grid Table 6 Colorful - Accent 4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15">
    <w:name w:val="Grid Table 6 Colorful - Accent 5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16">
    <w:name w:val="Grid Table 6 Colorful - Accent 6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17">
    <w:name w:val="Grid Table 7 Colorful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>
    <w:name w:val="Grid Table 7 Colorful - Accent 1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>
    <w:name w:val="Grid Table 7 Colorful - Accent 2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>
    <w:name w:val="Grid Table 7 Colorful - Accent 3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>
    <w:name w:val="Grid Table 7 Colorful - Accent 4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>
    <w:name w:val="Grid Table 7 Colorful - Accent 5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>
    <w:name w:val="Grid Table 7 Colorful - Accent 6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>
    <w:name w:val="List Table 1 Light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>
    <w:name w:val="List Table 1 Light - Accent 1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>
    <w:name w:val="List Table 1 Light - Accent 2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>
    <w:name w:val="List Table 1 Light - Accent 3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>
    <w:name w:val="List Table 1 Light - Accent 4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>
    <w:name w:val="List Table 1 Light - Accent 5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>
    <w:name w:val="List Table 1 Light - Accent 6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>
    <w:name w:val="List Table 2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32">
    <w:name w:val="List Table 2 - Accent 1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33">
    <w:name w:val="List Table 2 - Accent 2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34">
    <w:name w:val="List Table 2 - Accent 3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35">
    <w:name w:val="List Table 2 - Accent 4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36">
    <w:name w:val="List Table 2 - Accent 5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37">
    <w:name w:val="List Table 2 - Accent 6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38">
    <w:name w:val="List Table 3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>
    <w:name w:val="List Table 3 - Accent 1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>
    <w:name w:val="List Table 3 - Accent 2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>
    <w:name w:val="List Table 3 - Accent 3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>
    <w:name w:val="List Table 3 - Accent 4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>
    <w:name w:val="List Table 3 - Accent 5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>
    <w:name w:val="List Table 3 - Accent 6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>
    <w:name w:val="List Table 4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>
    <w:name w:val="List Table 4 - Accent 1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>
    <w:name w:val="List Table 4 - Accent 2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>
    <w:name w:val="List Table 4 - Accent 3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>
    <w:name w:val="List Table 4 - Accent 4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>
    <w:name w:val="List Table 4 - Accent 5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>
    <w:name w:val="List Table 4 - Accent 6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>
    <w:name w:val="List Table 5 Dark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53">
    <w:name w:val="List Table 5 Dark - Accent 1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54">
    <w:name w:val="List Table 5 Dark - Accent 2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55">
    <w:name w:val="List Table 5 Dark - Accent 3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56">
    <w:name w:val="List Table 5 Dark - Accent 4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57">
    <w:name w:val="List Table 5 Dark - Accent 5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58">
    <w:name w:val="List Table 5 Dark - Accent 6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59">
    <w:name w:val="List Table 6 Colorful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60">
    <w:name w:val="List Table 6 Colorful - Accent 1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61">
    <w:name w:val="List Table 6 Colorful - Accent 2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62">
    <w:name w:val="List Table 6 Colorful - Accent 3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63">
    <w:name w:val="List Table 6 Colorful - Accent 4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64">
    <w:name w:val="List Table 6 Colorful - Accent 5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65">
    <w:name w:val="List Table 6 Colorful - Accent 6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66">
    <w:name w:val="List Table 7 Colorful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67">
    <w:name w:val="List Table 7 Colorful - Accent 1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68">
    <w:name w:val="List Table 7 Colorful - Accent 2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69">
    <w:name w:val="List Table 7 Colorful - Accent 3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70">
    <w:name w:val="List Table 7 Colorful - Accent 4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71">
    <w:name w:val="List Table 7 Colorful - Accent 5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72">
    <w:name w:val="List Table 7 Colorful - Accent 6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73">
    <w:name w:val="Lined - Accent"/>
    <w:basedOn w:val="91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74">
    <w:name w:val="Lined - Accent 1"/>
    <w:basedOn w:val="91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75">
    <w:name w:val="Lined - Accent 2"/>
    <w:basedOn w:val="91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76">
    <w:name w:val="Lined - Accent 3"/>
    <w:basedOn w:val="91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77">
    <w:name w:val="Lined - Accent 4"/>
    <w:basedOn w:val="91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78">
    <w:name w:val="Lined - Accent 5"/>
    <w:basedOn w:val="91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79">
    <w:name w:val="Lined - Accent 6"/>
    <w:basedOn w:val="91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80">
    <w:name w:val="Bordered &amp; Lined - Accent"/>
    <w:basedOn w:val="91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81">
    <w:name w:val="Bordered &amp; Lined - Accent 1"/>
    <w:basedOn w:val="91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82">
    <w:name w:val="Bordered &amp; Lined - Accent 2"/>
    <w:basedOn w:val="91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83">
    <w:name w:val="Bordered &amp; Lined - Accent 3"/>
    <w:basedOn w:val="91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84">
    <w:name w:val="Bordered &amp; Lined - Accent 4"/>
    <w:basedOn w:val="91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85">
    <w:name w:val="Bordered &amp; Lined - Accent 5"/>
    <w:basedOn w:val="91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86">
    <w:name w:val="Bordered &amp; Lined - Accent 6"/>
    <w:basedOn w:val="91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87">
    <w:name w:val="Bordered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88">
    <w:name w:val="Bordered - Accent 1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89">
    <w:name w:val="Bordered - Accent 2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90">
    <w:name w:val="Bordered - Accent 3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91">
    <w:name w:val="Bordered - Accent 4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92">
    <w:name w:val="Bordered - Accent 5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93">
    <w:name w:val="Bordered - Accent 6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94">
    <w:name w:val="footnote text"/>
    <w:basedOn w:val="911"/>
    <w:link w:val="895"/>
    <w:uiPriority w:val="99"/>
    <w:semiHidden/>
    <w:unhideWhenUsed/>
    <w:pPr>
      <w:spacing w:after="40" w:line="240" w:lineRule="auto"/>
    </w:pPr>
    <w:rPr>
      <w:sz w:val="18"/>
    </w:rPr>
  </w:style>
  <w:style w:type="character" w:styleId="895">
    <w:name w:val="Footnote Text Char"/>
    <w:link w:val="894"/>
    <w:uiPriority w:val="99"/>
    <w:rPr>
      <w:sz w:val="18"/>
    </w:rPr>
  </w:style>
  <w:style w:type="character" w:styleId="896">
    <w:name w:val="footnote reference"/>
    <w:basedOn w:val="913"/>
    <w:uiPriority w:val="99"/>
    <w:unhideWhenUsed/>
    <w:rPr>
      <w:vertAlign w:val="superscript"/>
    </w:rPr>
  </w:style>
  <w:style w:type="paragraph" w:styleId="897">
    <w:name w:val="endnote text"/>
    <w:basedOn w:val="911"/>
    <w:link w:val="898"/>
    <w:uiPriority w:val="99"/>
    <w:semiHidden/>
    <w:unhideWhenUsed/>
    <w:pPr>
      <w:spacing w:after="0" w:line="240" w:lineRule="auto"/>
    </w:pPr>
    <w:rPr>
      <w:sz w:val="20"/>
    </w:rPr>
  </w:style>
  <w:style w:type="character" w:styleId="898">
    <w:name w:val="Endnote Text Char"/>
    <w:link w:val="897"/>
    <w:uiPriority w:val="99"/>
    <w:rPr>
      <w:sz w:val="20"/>
    </w:rPr>
  </w:style>
  <w:style w:type="character" w:styleId="899">
    <w:name w:val="endnote reference"/>
    <w:basedOn w:val="913"/>
    <w:uiPriority w:val="99"/>
    <w:semiHidden/>
    <w:unhideWhenUsed/>
    <w:rPr>
      <w:vertAlign w:val="superscript"/>
    </w:rPr>
  </w:style>
  <w:style w:type="paragraph" w:styleId="900">
    <w:name w:val="toc 1"/>
    <w:basedOn w:val="911"/>
    <w:next w:val="911"/>
    <w:uiPriority w:val="39"/>
    <w:unhideWhenUsed/>
    <w:pPr>
      <w:ind w:left="0" w:right="0" w:firstLine="0"/>
      <w:spacing w:after="57"/>
    </w:pPr>
  </w:style>
  <w:style w:type="paragraph" w:styleId="901">
    <w:name w:val="toc 2"/>
    <w:basedOn w:val="911"/>
    <w:next w:val="911"/>
    <w:uiPriority w:val="39"/>
    <w:unhideWhenUsed/>
    <w:pPr>
      <w:ind w:left="283" w:right="0" w:firstLine="0"/>
      <w:spacing w:after="57"/>
    </w:pPr>
  </w:style>
  <w:style w:type="paragraph" w:styleId="902">
    <w:name w:val="toc 3"/>
    <w:basedOn w:val="911"/>
    <w:next w:val="911"/>
    <w:uiPriority w:val="39"/>
    <w:unhideWhenUsed/>
    <w:pPr>
      <w:ind w:left="567" w:right="0" w:firstLine="0"/>
      <w:spacing w:after="57"/>
    </w:pPr>
  </w:style>
  <w:style w:type="paragraph" w:styleId="903">
    <w:name w:val="toc 4"/>
    <w:basedOn w:val="911"/>
    <w:next w:val="911"/>
    <w:uiPriority w:val="39"/>
    <w:unhideWhenUsed/>
    <w:pPr>
      <w:ind w:left="850" w:right="0" w:firstLine="0"/>
      <w:spacing w:after="57"/>
    </w:pPr>
  </w:style>
  <w:style w:type="paragraph" w:styleId="904">
    <w:name w:val="toc 5"/>
    <w:basedOn w:val="911"/>
    <w:next w:val="911"/>
    <w:uiPriority w:val="39"/>
    <w:unhideWhenUsed/>
    <w:pPr>
      <w:ind w:left="1134" w:right="0" w:firstLine="0"/>
      <w:spacing w:after="57"/>
    </w:pPr>
  </w:style>
  <w:style w:type="paragraph" w:styleId="905">
    <w:name w:val="toc 6"/>
    <w:basedOn w:val="911"/>
    <w:next w:val="911"/>
    <w:uiPriority w:val="39"/>
    <w:unhideWhenUsed/>
    <w:pPr>
      <w:ind w:left="1417" w:right="0" w:firstLine="0"/>
      <w:spacing w:after="57"/>
    </w:pPr>
  </w:style>
  <w:style w:type="paragraph" w:styleId="906">
    <w:name w:val="toc 7"/>
    <w:basedOn w:val="911"/>
    <w:next w:val="911"/>
    <w:uiPriority w:val="39"/>
    <w:unhideWhenUsed/>
    <w:pPr>
      <w:ind w:left="1701" w:right="0" w:firstLine="0"/>
      <w:spacing w:after="57"/>
    </w:pPr>
  </w:style>
  <w:style w:type="paragraph" w:styleId="907">
    <w:name w:val="toc 8"/>
    <w:basedOn w:val="911"/>
    <w:next w:val="911"/>
    <w:uiPriority w:val="39"/>
    <w:unhideWhenUsed/>
    <w:pPr>
      <w:ind w:left="1984" w:right="0" w:firstLine="0"/>
      <w:spacing w:after="57"/>
    </w:pPr>
  </w:style>
  <w:style w:type="paragraph" w:styleId="908">
    <w:name w:val="toc 9"/>
    <w:basedOn w:val="911"/>
    <w:next w:val="911"/>
    <w:uiPriority w:val="39"/>
    <w:unhideWhenUsed/>
    <w:pPr>
      <w:ind w:left="2268" w:right="0" w:firstLine="0"/>
      <w:spacing w:after="57"/>
    </w:pPr>
  </w:style>
  <w:style w:type="paragraph" w:styleId="909">
    <w:name w:val="TOC Heading"/>
    <w:uiPriority w:val="39"/>
    <w:unhideWhenUsed/>
  </w:style>
  <w:style w:type="paragraph" w:styleId="910">
    <w:name w:val="table of figures"/>
    <w:basedOn w:val="911"/>
    <w:next w:val="911"/>
    <w:uiPriority w:val="99"/>
    <w:unhideWhenUsed/>
    <w:pPr>
      <w:spacing w:after="0" w:afterAutospacing="0"/>
    </w:pPr>
  </w:style>
  <w:style w:type="paragraph" w:styleId="911" w:default="1">
    <w:name w:val="Normal"/>
    <w:qFormat/>
    <w:rPr>
      <w:sz w:val="24"/>
      <w:szCs w:val="24"/>
    </w:rPr>
  </w:style>
  <w:style w:type="paragraph" w:styleId="912">
    <w:name w:val="Heading 1"/>
    <w:basedOn w:val="911"/>
    <w:link w:val="941"/>
    <w:qFormat/>
    <w:pPr>
      <w:spacing w:before="100" w:beforeAutospacing="1" w:after="100" w:afterAutospacing="1"/>
      <w:outlineLvl w:val="0"/>
    </w:pPr>
    <w:rPr>
      <w:rFonts w:ascii="Arial Unicode MS" w:hAnsi="Arial Unicode MS" w:eastAsia="Arial Unicode MS" w:cs="Arial Unicode MS"/>
      <w:b/>
      <w:bCs/>
      <w:color w:val="000000"/>
      <w:sz w:val="48"/>
      <w:szCs w:val="48"/>
    </w:rPr>
  </w:style>
  <w:style w:type="character" w:styleId="913" w:default="1">
    <w:name w:val="Default Paragraph Font"/>
    <w:uiPriority w:val="1"/>
    <w:semiHidden/>
    <w:unhideWhenUsed/>
  </w:style>
  <w:style w:type="table" w:styleId="91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15" w:default="1">
    <w:name w:val="No List"/>
    <w:uiPriority w:val="99"/>
    <w:semiHidden/>
    <w:unhideWhenUsed/>
  </w:style>
  <w:style w:type="paragraph" w:styleId="916" w:customStyle="1">
    <w:name w:val="Стиль1"/>
    <w:basedOn w:val="911"/>
    <w:pPr>
      <w:spacing w:line="288" w:lineRule="auto"/>
    </w:pPr>
    <w:rPr>
      <w:sz w:val="28"/>
      <w:szCs w:val="20"/>
    </w:rPr>
  </w:style>
  <w:style w:type="paragraph" w:styleId="917">
    <w:name w:val="Body Text Indent 2"/>
    <w:basedOn w:val="911"/>
    <w:pPr>
      <w:ind w:firstLine="567"/>
      <w:jc w:val="both"/>
      <w:widowControl w:val="off"/>
    </w:pPr>
    <w:rPr>
      <w:sz w:val="28"/>
      <w:szCs w:val="28"/>
    </w:rPr>
  </w:style>
  <w:style w:type="paragraph" w:styleId="918">
    <w:name w:val="Title"/>
    <w:basedOn w:val="911"/>
    <w:link w:val="942"/>
    <w:qFormat/>
    <w:pPr>
      <w:spacing w:before="100" w:beforeAutospacing="1" w:after="100" w:afterAutospacing="1"/>
    </w:pPr>
    <w:rPr>
      <w:color w:val="000000"/>
    </w:rPr>
  </w:style>
  <w:style w:type="paragraph" w:styleId="919">
    <w:name w:val="Body Text Indent"/>
    <w:basedOn w:val="911"/>
    <w:link w:val="937"/>
    <w:pPr>
      <w:spacing w:before="100" w:beforeAutospacing="1" w:after="100" w:afterAutospacing="1"/>
    </w:pPr>
    <w:rPr>
      <w:color w:val="000000"/>
    </w:rPr>
  </w:style>
  <w:style w:type="paragraph" w:styleId="920">
    <w:name w:val="Body Text"/>
    <w:basedOn w:val="911"/>
    <w:pPr>
      <w:jc w:val="both"/>
      <w:spacing w:before="120" w:after="120"/>
    </w:pPr>
    <w:rPr>
      <w:szCs w:val="20"/>
    </w:rPr>
  </w:style>
  <w:style w:type="paragraph" w:styleId="921">
    <w:name w:val="Body Text Indent 3"/>
    <w:basedOn w:val="911"/>
    <w:link w:val="944"/>
    <w:pPr>
      <w:ind w:firstLine="540"/>
      <w:tabs>
        <w:tab w:val="num" w:pos="0" w:leader="none"/>
      </w:tabs>
    </w:pPr>
    <w:rPr>
      <w:b/>
      <w:bCs/>
      <w:sz w:val="26"/>
    </w:rPr>
  </w:style>
  <w:style w:type="paragraph" w:styleId="922">
    <w:name w:val="Body Text 2"/>
    <w:basedOn w:val="911"/>
    <w:link w:val="943"/>
    <w:rPr>
      <w:sz w:val="26"/>
    </w:rPr>
  </w:style>
  <w:style w:type="paragraph" w:styleId="923">
    <w:name w:val="Footer"/>
    <w:basedOn w:val="911"/>
    <w:pPr>
      <w:tabs>
        <w:tab w:val="center" w:pos="4677" w:leader="none"/>
        <w:tab w:val="right" w:pos="9355" w:leader="none"/>
      </w:tabs>
    </w:pPr>
  </w:style>
  <w:style w:type="character" w:styleId="924">
    <w:name w:val="page number"/>
    <w:basedOn w:val="913"/>
  </w:style>
  <w:style w:type="paragraph" w:styleId="925">
    <w:name w:val="Balloon Text"/>
    <w:basedOn w:val="911"/>
    <w:semiHidden/>
    <w:rPr>
      <w:rFonts w:ascii="Tahoma" w:hAnsi="Tahoma" w:cs="Tahoma"/>
      <w:sz w:val="16"/>
      <w:szCs w:val="16"/>
    </w:rPr>
  </w:style>
  <w:style w:type="paragraph" w:styleId="926" w:customStyle="1">
    <w:name w:val="Стиль2"/>
    <w:basedOn w:val="928"/>
    <w:pPr>
      <w:numPr>
        <w:ilvl w:val="0"/>
        <w:numId w:val="0"/>
      </w:numPr>
      <w:ind w:left="576" w:hanging="576"/>
      <w:jc w:val="both"/>
      <w:keepLines/>
      <w:keepNext/>
      <w:spacing w:before="120"/>
      <w:widowControl w:val="off"/>
      <w:tabs>
        <w:tab w:val="num" w:pos="576" w:leader="none"/>
      </w:tabs>
      <w:suppressLineNumbers/>
    </w:pPr>
    <w:rPr>
      <w:b/>
      <w:szCs w:val="20"/>
    </w:rPr>
  </w:style>
  <w:style w:type="paragraph" w:styleId="927" w:customStyle="1">
    <w:name w:val="Стиль3 Знак Знак"/>
    <w:basedOn w:val="917"/>
    <w:pPr>
      <w:ind w:firstLine="0"/>
      <w:spacing w:before="120"/>
      <w:tabs>
        <w:tab w:val="num" w:pos="227" w:leader="none"/>
      </w:tabs>
    </w:pPr>
    <w:rPr>
      <w:sz w:val="24"/>
      <w:szCs w:val="20"/>
    </w:rPr>
  </w:style>
  <w:style w:type="paragraph" w:styleId="928">
    <w:name w:val="List Number 2"/>
    <w:basedOn w:val="911"/>
    <w:pPr>
      <w:numPr>
        <w:ilvl w:val="0"/>
        <w:numId w:val="19"/>
      </w:numPr>
    </w:pPr>
  </w:style>
  <w:style w:type="paragraph" w:styleId="929">
    <w:name w:val="Normal (Web)"/>
    <w:basedOn w:val="911"/>
    <w:link w:val="939"/>
    <w:pPr>
      <w:spacing w:before="100" w:beforeAutospacing="1" w:after="100" w:afterAutospacing="1"/>
    </w:pPr>
  </w:style>
  <w:style w:type="paragraph" w:styleId="930" w:customStyle="1">
    <w:name w:val="Знак"/>
    <w:basedOn w:val="911"/>
    <w:pPr>
      <w:jc w:val="both"/>
      <w:spacing w:after="160" w:line="240" w:lineRule="exact"/>
    </w:pPr>
    <w:rPr>
      <w:szCs w:val="20"/>
      <w:lang w:val="en-US" w:eastAsia="en-US"/>
    </w:rPr>
  </w:style>
  <w:style w:type="paragraph" w:styleId="931">
    <w:name w:val="Header"/>
    <w:basedOn w:val="911"/>
    <w:pPr>
      <w:tabs>
        <w:tab w:val="center" w:pos="4677" w:leader="none"/>
        <w:tab w:val="right" w:pos="9355" w:leader="none"/>
      </w:tabs>
    </w:pPr>
  </w:style>
  <w:style w:type="paragraph" w:styleId="932" w:customStyle="1">
    <w:name w:val="Подраздел"/>
    <w:basedOn w:val="911"/>
    <w:pPr>
      <w:jc w:val="center"/>
      <w:spacing w:before="240" w:after="120"/>
    </w:pPr>
    <w:rPr>
      <w:rFonts w:ascii="TimesDL" w:hAnsi="TimesDL" w:cs="TimesDL"/>
      <w:b/>
      <w:bCs/>
      <w:smallCaps/>
      <w:spacing w:val="-2"/>
    </w:rPr>
  </w:style>
  <w:style w:type="paragraph" w:styleId="933" w:customStyle="1">
    <w:name w:val="Условия контракта"/>
    <w:basedOn w:val="911"/>
    <w:semiHidden/>
    <w:pPr>
      <w:numPr>
        <w:ilvl w:val="0"/>
        <w:numId w:val="20"/>
      </w:numPr>
      <w:jc w:val="both"/>
      <w:spacing w:before="240" w:after="120"/>
    </w:pPr>
    <w:rPr>
      <w:b/>
      <w:szCs w:val="20"/>
    </w:rPr>
  </w:style>
  <w:style w:type="paragraph" w:styleId="934" w:customStyle="1">
    <w:name w:val="ConsPlusNormal"/>
    <w:pPr>
      <w:ind w:firstLine="720"/>
      <w:widowControl w:val="off"/>
    </w:pPr>
    <w:rPr>
      <w:rFonts w:ascii="Arial" w:hAnsi="Arial" w:cs="Arial"/>
    </w:rPr>
  </w:style>
  <w:style w:type="paragraph" w:styleId="935" w:customStyle="1">
    <w:name w:val="xl22"/>
    <w:basedOn w:val="911"/>
    <w:pPr>
      <w:jc w:val="center"/>
      <w:spacing w:before="100" w:beforeAutospacing="1" w:after="100" w:afterAutospacing="1"/>
      <w:pBdr>
        <w:top w:val="single" w:color="000000" w:sz="8" w:space="0"/>
        <w:left w:val="single" w:color="000000" w:sz="8" w:space="0"/>
        <w:bottom w:val="single" w:color="000000" w:sz="8" w:space="0"/>
      </w:pBdr>
    </w:pPr>
    <w:rPr>
      <w:rFonts w:ascii="Arial Unicode MS" w:hAnsi="Arial Unicode MS" w:eastAsia="Arial Unicode MS" w:cs="Arial Unicode MS"/>
      <w:b/>
      <w:bCs/>
    </w:rPr>
  </w:style>
  <w:style w:type="character" w:styleId="936">
    <w:name w:val="Hyperlink"/>
    <w:basedOn w:val="913"/>
    <w:rPr>
      <w:color w:val="0000ff"/>
      <w:u w:val="single"/>
    </w:rPr>
  </w:style>
  <w:style w:type="character" w:styleId="937" w:customStyle="1">
    <w:name w:val="Основной текст с отступом Знак"/>
    <w:basedOn w:val="913"/>
    <w:link w:val="919"/>
    <w:rPr>
      <w:color w:val="000000"/>
      <w:sz w:val="24"/>
      <w:szCs w:val="24"/>
    </w:rPr>
  </w:style>
  <w:style w:type="table" w:styleId="938">
    <w:name w:val="Table Grid"/>
    <w:basedOn w:val="914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939" w:customStyle="1">
    <w:name w:val="Обычный (Интернет) Знак"/>
    <w:basedOn w:val="913"/>
    <w:link w:val="929"/>
    <w:rPr>
      <w:sz w:val="24"/>
      <w:szCs w:val="24"/>
      <w:lang w:val="ru-RU" w:eastAsia="ru-RU" w:bidi="ar-SA"/>
    </w:rPr>
  </w:style>
  <w:style w:type="character" w:styleId="940">
    <w:name w:val="annotation reference"/>
    <w:basedOn w:val="913"/>
    <w:rPr>
      <w:sz w:val="16"/>
    </w:rPr>
  </w:style>
  <w:style w:type="character" w:styleId="941" w:customStyle="1">
    <w:name w:val="Заголовок 1 Знак"/>
    <w:basedOn w:val="913"/>
    <w:link w:val="912"/>
    <w:rPr>
      <w:rFonts w:ascii="Arial Unicode MS" w:hAnsi="Arial Unicode MS" w:eastAsia="Arial Unicode MS" w:cs="Arial Unicode MS"/>
      <w:b/>
      <w:bCs/>
      <w:color w:val="000000"/>
      <w:sz w:val="48"/>
      <w:szCs w:val="48"/>
    </w:rPr>
  </w:style>
  <w:style w:type="character" w:styleId="942" w:customStyle="1">
    <w:name w:val="Заголовок Знак"/>
    <w:basedOn w:val="913"/>
    <w:link w:val="918"/>
    <w:rPr>
      <w:color w:val="000000"/>
      <w:sz w:val="24"/>
      <w:szCs w:val="24"/>
    </w:rPr>
  </w:style>
  <w:style w:type="character" w:styleId="943" w:customStyle="1">
    <w:name w:val="Основной текст 2 Знак"/>
    <w:basedOn w:val="913"/>
    <w:link w:val="922"/>
    <w:rPr>
      <w:sz w:val="26"/>
      <w:szCs w:val="24"/>
    </w:rPr>
  </w:style>
  <w:style w:type="character" w:styleId="944" w:customStyle="1">
    <w:name w:val="Основной текст с отступом 3 Знак"/>
    <w:basedOn w:val="913"/>
    <w:link w:val="921"/>
    <w:rPr>
      <w:b/>
      <w:bCs/>
      <w:sz w:val="26"/>
      <w:szCs w:val="24"/>
    </w:rPr>
  </w:style>
  <w:style w:type="paragraph" w:styleId="945">
    <w:name w:val="List Paragraph"/>
    <w:basedOn w:val="911"/>
    <w:uiPriority w:val="34"/>
    <w:qFormat/>
    <w:pPr>
      <w:contextualSpacing/>
      <w:ind w:left="720"/>
    </w:pPr>
  </w:style>
  <w:style w:type="paragraph" w:styleId="946" w:customStyle="1">
    <w:name w:val="Default"/>
    <w:rPr>
      <w:color w:val="000000"/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footer" Target="footer2.xml" /><Relationship Id="rId11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0E3E63-2DEC-4C1D-8F3E-FB6143B79E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>Дом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creator>dragon</dc:creator>
  <cp:revision>24</cp:revision>
  <dcterms:created xsi:type="dcterms:W3CDTF">2023-04-26T12:35:00Z</dcterms:created>
  <dcterms:modified xsi:type="dcterms:W3CDTF">2026-06-23T05:33:33Z</dcterms:modified>
</cp:coreProperties>
</file>