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Техническое задание </w:t>
      </w:r>
      <w:r>
        <w:rPr>
          <w:rFonts w:ascii="Times New Roman" w:hAnsi="Times New Roman"/>
          <w:b/>
          <w:sz w:val="24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  <w:t xml:space="preserve">на право заключения договора на поставку </w:t>
      </w:r>
      <w:r>
        <w:rPr>
          <w:rFonts w:ascii="Times New Roman" w:hAnsi="Times New Roman"/>
          <w:b/>
          <w:sz w:val="24"/>
        </w:rPr>
        <w:t xml:space="preserve">картриджей</w:t>
      </w:r>
      <w:r>
        <w:rPr>
          <w:rFonts w:ascii="Times New Roman" w:hAnsi="Times New Roman"/>
          <w:b/>
          <w:sz w:val="24"/>
        </w:rPr>
      </w:r>
    </w:p>
    <w:p>
      <w:pPr>
        <w:jc w:val="center"/>
        <w:spacing w:after="0" w:line="240" w:lineRule="auto"/>
        <w:rPr>
          <w:rFonts w:ascii="Times New Roman" w:hAnsi="Times New Roman"/>
          <w:b/>
          <w:sz w:val="24"/>
        </w:rPr>
      </w:pPr>
      <w:r>
        <w:rPr>
          <w:rFonts w:ascii="Times New Roman" w:hAnsi="Times New Roman"/>
          <w:b/>
          <w:sz w:val="24"/>
        </w:rPr>
      </w:r>
      <w:r>
        <w:rPr>
          <w:rFonts w:ascii="Times New Roman" w:hAnsi="Times New Roman"/>
          <w:b/>
          <w:sz w:val="24"/>
        </w:rPr>
      </w:r>
    </w:p>
    <w:p>
      <w:pPr>
        <w:numPr>
          <w:ilvl w:val="0"/>
          <w:numId w:val="1"/>
        </w:numPr>
        <w:ind w:left="284" w:firstLine="567"/>
        <w:jc w:val="both"/>
        <w:spacing w:after="0" w:line="240" w:lineRule="auto"/>
        <w:widowControl w:val="off"/>
        <w:tabs>
          <w:tab w:val="left" w:pos="1134" w:leader="none"/>
          <w:tab w:val="clear" w:pos="3780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Начальная (максимальная) цена договора </w:t>
      </w:r>
      <w:r>
        <w:rPr>
          <w:rFonts w:ascii="Times New Roman" w:hAnsi="Times New Roman"/>
          <w:b/>
          <w:sz w:val="24"/>
        </w:rPr>
        <w:t xml:space="preserve">5</w:t>
      </w:r>
      <w:r>
        <w:rPr>
          <w:rFonts w:ascii="Times New Roman" w:hAnsi="Times New Roman"/>
          <w:b/>
          <w:sz w:val="24"/>
        </w:rPr>
        <w:t xml:space="preserve">60</w:t>
      </w:r>
      <w:r>
        <w:rPr>
          <w:rFonts w:ascii="Times New Roman" w:hAnsi="Times New Roman"/>
          <w:b/>
          <w:sz w:val="24"/>
        </w:rPr>
        <w:t xml:space="preserve"> 00</w:t>
      </w:r>
      <w:r>
        <w:rPr>
          <w:rFonts w:ascii="Times New Roman" w:hAnsi="Times New Roman"/>
          <w:b/>
          <w:sz w:val="24"/>
        </w:rPr>
        <w:t xml:space="preserve">0</w:t>
      </w:r>
      <w:r>
        <w:rPr>
          <w:rFonts w:ascii="Times New Roman" w:hAnsi="Times New Roman"/>
          <w:b/>
          <w:sz w:val="24"/>
        </w:rPr>
        <w:t xml:space="preserve"> (</w:t>
      </w:r>
      <w:r>
        <w:rPr>
          <w:rFonts w:ascii="Times New Roman" w:hAnsi="Times New Roman"/>
          <w:b/>
          <w:sz w:val="24"/>
        </w:rPr>
        <w:t xml:space="preserve">пятьсот шестьдесят тысяч</w:t>
      </w:r>
      <w:r>
        <w:rPr>
          <w:rFonts w:ascii="Times New Roman" w:hAnsi="Times New Roman"/>
          <w:b/>
          <w:sz w:val="24"/>
        </w:rPr>
        <w:t xml:space="preserve">) </w:t>
      </w:r>
      <w:r>
        <w:rPr>
          <w:rFonts w:ascii="Times New Roman" w:hAnsi="Times New Roman"/>
          <w:b/>
          <w:sz w:val="24"/>
        </w:rPr>
        <w:t xml:space="preserve">рублей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00</w:t>
      </w:r>
      <w:r>
        <w:rPr>
          <w:rFonts w:ascii="Times New Roman" w:hAnsi="Times New Roman"/>
          <w:b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 xml:space="preserve">копеек</w:t>
      </w:r>
      <w:r>
        <w:rPr>
          <w:rFonts w:ascii="Times New Roman" w:hAnsi="Times New Roman"/>
          <w:b/>
          <w:sz w:val="24"/>
        </w:rPr>
        <w:t xml:space="preserve">. </w:t>
      </w:r>
      <w:r>
        <w:rPr>
          <w:rFonts w:ascii="Times New Roman" w:hAnsi="Times New Roman"/>
          <w:sz w:val="24"/>
        </w:rPr>
        <w:t xml:space="preserve">Цена </w:t>
      </w:r>
      <w:r>
        <w:rPr>
          <w:rFonts w:ascii="Times New Roman" w:hAnsi="Times New Roman"/>
          <w:sz w:val="24"/>
        </w:rPr>
        <w:t xml:space="preserve">Договора включа</w:t>
      </w:r>
      <w:r>
        <w:rPr>
          <w:rFonts w:ascii="Times New Roman" w:hAnsi="Times New Roman"/>
          <w:sz w:val="24"/>
        </w:rPr>
        <w:t xml:space="preserve">е</w:t>
      </w:r>
      <w:r>
        <w:rPr>
          <w:rFonts w:ascii="Times New Roman" w:hAnsi="Times New Roman"/>
          <w:sz w:val="24"/>
        </w:rPr>
        <w:t xml:space="preserve">т</w:t>
      </w:r>
      <w:r>
        <w:rPr>
          <w:rFonts w:ascii="Times New Roman" w:hAnsi="Times New Roman"/>
          <w:sz w:val="24"/>
        </w:rPr>
        <w:t xml:space="preserve"> в себя стоимость Товара, сумму НДС (2</w:t>
      </w:r>
      <w:r>
        <w:rPr>
          <w:rFonts w:ascii="Times New Roman" w:hAnsi="Times New Roman"/>
          <w:sz w:val="24"/>
        </w:rPr>
        <w:t xml:space="preserve">2</w:t>
      </w:r>
      <w:r>
        <w:rPr>
          <w:rFonts w:ascii="Times New Roman" w:hAnsi="Times New Roman"/>
          <w:sz w:val="24"/>
        </w:rPr>
        <w:t xml:space="preserve">%), стоимость тары и упаковки, маркировки, стоимость страхования Товара, расходы на доставку Товара до склада Покупателя, уплату всех налогов, сборов, пошлин и других обязательных платежей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1"/>
        </w:numPr>
        <w:ind w:left="284" w:firstLine="567"/>
        <w:jc w:val="both"/>
        <w:spacing w:after="0" w:line="240" w:lineRule="auto"/>
        <w:widowControl w:val="off"/>
        <w:tabs>
          <w:tab w:val="left" w:pos="1134" w:leader="none"/>
          <w:tab w:val="clear" w:pos="3780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Условие оплаты: оплата </w:t>
      </w:r>
      <w:r>
        <w:rPr>
          <w:rFonts w:ascii="Times New Roman" w:hAnsi="Times New Roman"/>
          <w:sz w:val="24"/>
        </w:rPr>
        <w:t xml:space="preserve">Т</w:t>
      </w:r>
      <w:r>
        <w:rPr>
          <w:rFonts w:ascii="Times New Roman" w:hAnsi="Times New Roman"/>
          <w:sz w:val="24"/>
        </w:rPr>
        <w:t xml:space="preserve">овара производится Покупателем в </w:t>
      </w:r>
      <w:r>
        <w:rPr>
          <w:rFonts w:ascii="Times New Roman" w:hAnsi="Times New Roman"/>
          <w:sz w:val="24"/>
        </w:rPr>
        <w:t xml:space="preserve">течение 7 (Семи) рабочих дней с момента поставки Товара и подписания товарной накладной путем перечисления денежных средств на расчетный счет на основании выставленного Поставщиком счета на оплату. Датой платежа считается дата списания денежных средств со </w:t>
      </w:r>
      <w:r>
        <w:rPr>
          <w:rFonts w:ascii="Times New Roman" w:hAnsi="Times New Roman"/>
          <w:sz w:val="24"/>
        </w:rPr>
        <w:t xml:space="preserve">счета Покупателя. Счета </w:t>
      </w:r>
      <w:r>
        <w:rPr>
          <w:rFonts w:ascii="Times New Roman" w:hAnsi="Times New Roman"/>
          <w:sz w:val="24"/>
        </w:rPr>
        <w:t xml:space="preserve">содержат</w:t>
      </w:r>
      <w:r>
        <w:rPr>
          <w:rFonts w:ascii="Times New Roman" w:hAnsi="Times New Roman"/>
          <w:sz w:val="24"/>
        </w:rPr>
        <w:t xml:space="preserve"> ссылку</w:t>
      </w:r>
      <w:r>
        <w:rPr>
          <w:rFonts w:ascii="Times New Roman" w:hAnsi="Times New Roman"/>
          <w:sz w:val="24"/>
        </w:rPr>
        <w:t xml:space="preserve"> на Договор.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1"/>
        </w:numPr>
        <w:ind w:left="284" w:firstLine="567"/>
        <w:jc w:val="both"/>
        <w:spacing w:after="0" w:line="240" w:lineRule="auto"/>
        <w:widowControl w:val="off"/>
        <w:tabs>
          <w:tab w:val="left" w:pos="1134" w:leader="none"/>
          <w:tab w:val="clear" w:pos="3780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Срок</w:t>
      </w:r>
      <w:r>
        <w:rPr>
          <w:rFonts w:ascii="Times New Roman" w:hAnsi="Times New Roman"/>
          <w:sz w:val="24"/>
        </w:rPr>
        <w:t xml:space="preserve"> действия</w:t>
      </w:r>
      <w:r>
        <w:rPr>
          <w:rFonts w:ascii="Times New Roman" w:hAnsi="Times New Roman"/>
          <w:sz w:val="24"/>
        </w:rPr>
        <w:t xml:space="preserve"> договора: Договор</w:t>
      </w:r>
      <w:r>
        <w:rPr>
          <w:rFonts w:ascii="Times New Roman" w:hAnsi="Times New Roman"/>
          <w:sz w:val="24"/>
        </w:rPr>
        <w:t xml:space="preserve"> вступает в силу с момента его подписания Сторонами и действует до 3</w:t>
      </w:r>
      <w:r>
        <w:rPr>
          <w:rFonts w:ascii="Times New Roman" w:hAnsi="Times New Roman"/>
          <w:sz w:val="24"/>
        </w:rPr>
        <w:t xml:space="preserve">1.</w:t>
      </w:r>
      <w:r>
        <w:rPr>
          <w:rFonts w:ascii="Times New Roman" w:hAnsi="Times New Roman"/>
          <w:sz w:val="24"/>
        </w:rPr>
        <w:t xml:space="preserve">12</w:t>
      </w:r>
      <w:r>
        <w:rPr>
          <w:rFonts w:ascii="Times New Roman" w:hAnsi="Times New Roman"/>
          <w:sz w:val="24"/>
        </w:rPr>
        <w:t xml:space="preserve">.2026</w:t>
      </w:r>
      <w:r>
        <w:rPr>
          <w:rFonts w:ascii="Times New Roman" w:hAnsi="Times New Roman"/>
          <w:sz w:val="24"/>
        </w:rPr>
        <w:t xml:space="preserve"> г. или до полного выполнения Сторонами своих обязательств по нему.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1"/>
        </w:numPr>
        <w:ind w:left="284" w:firstLine="567"/>
        <w:jc w:val="both"/>
        <w:spacing w:after="0" w:line="240" w:lineRule="auto"/>
        <w:widowControl w:val="off"/>
        <w:tabs>
          <w:tab w:val="left" w:pos="1134" w:leader="none"/>
          <w:tab w:val="clear" w:pos="3780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Срок поставки Товара: в течение </w:t>
      </w:r>
      <w:r>
        <w:rPr>
          <w:rFonts w:ascii="Times New Roman" w:hAnsi="Times New Roman"/>
          <w:sz w:val="24"/>
        </w:rPr>
        <w:t xml:space="preserve">5</w:t>
      </w:r>
      <w:r>
        <w:rPr>
          <w:rFonts w:ascii="Times New Roman" w:hAnsi="Times New Roman"/>
          <w:sz w:val="24"/>
        </w:rPr>
        <w:t xml:space="preserve"> (</w:t>
      </w:r>
      <w:r>
        <w:rPr>
          <w:rFonts w:ascii="Times New Roman" w:hAnsi="Times New Roman"/>
          <w:sz w:val="24"/>
        </w:rPr>
        <w:t xml:space="preserve">пяти</w:t>
      </w:r>
      <w:r>
        <w:rPr>
          <w:rFonts w:ascii="Times New Roman" w:hAnsi="Times New Roman"/>
          <w:sz w:val="24"/>
        </w:rPr>
        <w:t xml:space="preserve">) </w:t>
      </w:r>
      <w:r>
        <w:rPr>
          <w:rFonts w:ascii="Times New Roman" w:hAnsi="Times New Roman"/>
          <w:sz w:val="24"/>
        </w:rPr>
        <w:t xml:space="preserve">календарных дней после получения заявки от </w:t>
      </w:r>
      <w:r>
        <w:rPr>
          <w:rFonts w:ascii="Times New Roman" w:hAnsi="Times New Roman"/>
          <w:sz w:val="24"/>
        </w:rPr>
        <w:t xml:space="preserve">П</w:t>
      </w:r>
      <w:r>
        <w:rPr>
          <w:rFonts w:ascii="Times New Roman" w:hAnsi="Times New Roman"/>
          <w:sz w:val="24"/>
        </w:rPr>
        <w:t xml:space="preserve">окупателя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  <w:t xml:space="preserve"> Количество заявок 7-10 за весь период действия </w:t>
      </w:r>
      <w:r>
        <w:rPr>
          <w:rFonts w:ascii="Times New Roman" w:hAnsi="Times New Roman"/>
          <w:sz w:val="24"/>
        </w:rPr>
        <w:t xml:space="preserve">Д</w:t>
      </w:r>
      <w:r>
        <w:rPr>
          <w:rFonts w:ascii="Times New Roman" w:hAnsi="Times New Roman"/>
          <w:sz w:val="24"/>
        </w:rPr>
        <w:t xml:space="preserve">оговора.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Минимальный объем </w:t>
      </w:r>
      <w:r>
        <w:rPr>
          <w:rFonts w:ascii="Times New Roman" w:hAnsi="Times New Roman"/>
          <w:sz w:val="24"/>
        </w:rPr>
        <w:t xml:space="preserve">заявки 1 шт</w:t>
      </w:r>
      <w:r>
        <w:rPr>
          <w:rFonts w:ascii="Times New Roman" w:hAnsi="Times New Roman"/>
          <w:sz w:val="24"/>
        </w:rPr>
        <w:t xml:space="preserve">.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1"/>
        </w:numPr>
        <w:ind w:left="284" w:firstLine="567"/>
        <w:jc w:val="both"/>
        <w:spacing w:after="0" w:line="240" w:lineRule="auto"/>
        <w:widowControl w:val="off"/>
        <w:tabs>
          <w:tab w:val="left" w:pos="1134" w:leader="none"/>
          <w:tab w:val="clear" w:pos="3780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Способ поставки: Товар поставляется силами и за счет Поста</w:t>
      </w:r>
      <w:r>
        <w:rPr>
          <w:rFonts w:ascii="Times New Roman" w:hAnsi="Times New Roman"/>
          <w:sz w:val="24"/>
        </w:rPr>
        <w:t xml:space="preserve">в</w:t>
      </w:r>
      <w:r>
        <w:rPr>
          <w:rFonts w:ascii="Times New Roman" w:hAnsi="Times New Roman"/>
          <w:sz w:val="24"/>
        </w:rPr>
        <w:t xml:space="preserve">щика на склад Покупателя по адресу 420066, РТ, г. Казань, ул. Декабристов, </w:t>
      </w:r>
      <w:r>
        <w:rPr>
          <w:rFonts w:ascii="Times New Roman" w:hAnsi="Times New Roman"/>
          <w:sz w:val="24"/>
        </w:rPr>
        <w:t xml:space="preserve">зд</w:t>
      </w:r>
      <w:r>
        <w:rPr>
          <w:rFonts w:ascii="Times New Roman" w:hAnsi="Times New Roman"/>
          <w:sz w:val="24"/>
        </w:rPr>
        <w:t xml:space="preserve">. 2.  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1"/>
        </w:numPr>
        <w:ind w:left="284" w:firstLine="567"/>
        <w:jc w:val="both"/>
        <w:spacing w:after="0" w:line="240" w:lineRule="auto"/>
        <w:widowControl w:val="off"/>
        <w:tabs>
          <w:tab w:val="left" w:pos="1134" w:leader="none"/>
          <w:tab w:val="clear" w:pos="3780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Товар новый и не бывший в эксплуатации, не подвергавшийся ремонту или восстановлению.</w:t>
      </w:r>
      <w:r>
        <w:rPr>
          <w:rFonts w:ascii="Times New Roman" w:hAnsi="Times New Roman"/>
          <w:sz w:val="24"/>
        </w:rPr>
      </w:r>
    </w:p>
    <w:p>
      <w:pPr>
        <w:numPr>
          <w:ilvl w:val="0"/>
          <w:numId w:val="1"/>
        </w:numPr>
        <w:ind w:left="284" w:firstLine="567"/>
        <w:jc w:val="both"/>
        <w:spacing w:after="0" w:line="240" w:lineRule="auto"/>
        <w:widowControl w:val="off"/>
        <w:tabs>
          <w:tab w:val="left" w:pos="1134" w:leader="none"/>
          <w:tab w:val="clear" w:pos="3780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Товар </w:t>
      </w:r>
      <w:r>
        <w:rPr>
          <w:rFonts w:ascii="Times New Roman" w:hAnsi="Times New Roman"/>
          <w:sz w:val="24"/>
        </w:rPr>
        <w:t xml:space="preserve">является оригиналом, </w:t>
      </w:r>
      <w:r>
        <w:rPr>
          <w:rFonts w:ascii="Times New Roman" w:hAnsi="Times New Roman"/>
          <w:sz w:val="24"/>
        </w:rPr>
        <w:t xml:space="preserve">соответствует каталожному номеру, наименованию на языке производителя, заводскому номеру оборудования и его оригинальному </w:t>
      </w:r>
      <w:r>
        <w:rPr>
          <w:rFonts w:ascii="Times New Roman" w:hAnsi="Times New Roman"/>
          <w:sz w:val="24"/>
        </w:rPr>
        <w:t xml:space="preserve">названию, указ</w:t>
      </w:r>
      <w:r>
        <w:rPr>
          <w:rFonts w:ascii="Times New Roman" w:hAnsi="Times New Roman"/>
          <w:sz w:val="24"/>
        </w:rPr>
        <w:t xml:space="preserve">анным</w:t>
      </w:r>
      <w:r>
        <w:rPr>
          <w:rFonts w:ascii="Times New Roman" w:hAnsi="Times New Roman"/>
          <w:sz w:val="24"/>
        </w:rPr>
        <w:t xml:space="preserve"> в техническом задании Покупателя.</w:t>
      </w:r>
      <w:r>
        <w:rPr>
          <w:rFonts w:ascii="Times New Roman" w:hAnsi="Times New Roman"/>
          <w:sz w:val="24"/>
        </w:rPr>
      </w:r>
    </w:p>
    <w:p>
      <w:pPr>
        <w:ind w:left="284" w:firstLine="567"/>
        <w:jc w:val="both"/>
        <w:spacing w:after="0" w:line="240" w:lineRule="auto"/>
        <w:widowControl w:val="off"/>
        <w:tabs>
          <w:tab w:val="left" w:pos="284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 xml:space="preserve">8.</w:t>
      </w:r>
      <w:r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В связи с тем, что </w:t>
      </w:r>
      <w:r>
        <w:rPr>
          <w:rFonts w:ascii="Times New Roman" w:hAnsi="Times New Roman"/>
          <w:sz w:val="24"/>
        </w:rPr>
        <w:t xml:space="preserve">Покупатель</w:t>
      </w:r>
      <w:r>
        <w:rPr>
          <w:rFonts w:ascii="Times New Roman" w:hAnsi="Times New Roman"/>
          <w:sz w:val="24"/>
        </w:rPr>
        <w:t xml:space="preserve"> входит в перечень организаций, указанных абзаце втором подпункта "л" пункта 4 Постановления Правительства Российской Феде</w:t>
      </w:r>
      <w:r>
        <w:rPr>
          <w:rFonts w:ascii="Times New Roman" w:hAnsi="Times New Roman"/>
          <w:sz w:val="24"/>
        </w:rPr>
        <w:t xml:space="preserve">рации от 23 декабря 2024 г. N 1875 "О мерах по предоставлению национального режима при осуществлении закупок товаров, работ, услуг для обеспечения государственных и муниципальных нужд, закупок товаров, работ, услуг отдельными видами юридических лиц" (далее</w:t>
      </w:r>
      <w:r>
        <w:rPr>
          <w:rFonts w:ascii="Times New Roman" w:hAnsi="Times New Roman"/>
          <w:sz w:val="24"/>
        </w:rPr>
        <w:t xml:space="preserve"> –</w:t>
      </w:r>
      <w:r>
        <w:rPr>
          <w:rFonts w:ascii="Times New Roman" w:hAnsi="Times New Roman"/>
          <w:sz w:val="24"/>
        </w:rPr>
        <w:t xml:space="preserve"> Постановление) на данную закупку не</w:t>
      </w:r>
      <w:r>
        <w:rPr>
          <w:rFonts w:ascii="Times New Roman" w:hAnsi="Times New Roman"/>
          <w:sz w:val="24"/>
        </w:rPr>
        <w:t xml:space="preserve"> распространяется запрет, ограничение, преимущество, предусмотренные пунктом 1 Постановления, согласно подпункту "м" пункта 4 Постановления.</w:t>
      </w:r>
      <w:r>
        <w:rPr>
          <w:rFonts w:ascii="Times New Roman" w:hAnsi="Times New Roman"/>
          <w:sz w:val="24"/>
        </w:rPr>
      </w:r>
    </w:p>
    <w:p>
      <w:pPr>
        <w:ind w:left="284" w:firstLine="567"/>
        <w:jc w:val="both"/>
        <w:spacing w:after="0" w:line="240" w:lineRule="auto"/>
        <w:widowControl w:val="off"/>
        <w:tabs>
          <w:tab w:val="left" w:pos="1134" w:leader="none"/>
        </w:tabs>
        <w:rPr>
          <w:rFonts w:ascii="Times New Roman" w:hAnsi="Times New Roman"/>
          <w:sz w:val="24"/>
        </w:rPr>
      </w:pPr>
      <w:r/>
      <w:bookmarkStart w:id="0" w:name="_GoBack"/>
      <w:r/>
      <w:bookmarkEnd w:id="0"/>
      <w:r/>
      <w:r>
        <w:rPr>
          <w:rFonts w:ascii="Times New Roman" w:hAnsi="Times New Roman"/>
          <w:sz w:val="24"/>
        </w:rPr>
      </w:r>
    </w:p>
    <w:tbl>
      <w:tblPr>
        <w:tblW w:w="14467" w:type="dxa"/>
        <w:tblInd w:w="14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56"/>
        <w:gridCol w:w="7856"/>
        <w:gridCol w:w="1557"/>
        <w:gridCol w:w="1279"/>
        <w:gridCol w:w="1558"/>
        <w:gridCol w:w="1561"/>
      </w:tblGrid>
      <w:tr>
        <w:tblPrEx/>
        <w:trPr>
          <w:trHeight w:val="298"/>
        </w:trPr>
        <w:tc>
          <w:tcPr>
            <w:gridSpan w:val="6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14467" w:type="dxa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Картриджи </w:t>
            </w:r>
            <w:r>
              <w:rPr>
                <w:rFonts w:ascii="Times New Roman" w:hAnsi="Times New Roman"/>
                <w:b/>
                <w:highlight w:val="white"/>
              </w:rPr>
              <w:t xml:space="preserve">для</w:t>
            </w:r>
            <w:r>
              <w:rPr>
                <w:rFonts w:ascii="Times New Roman" w:hAnsi="Times New Roman"/>
                <w:b/>
                <w:highlight w:val="white"/>
              </w:rPr>
              <w:t xml:space="preserve"> принтера </w:t>
            </w:r>
            <w:r>
              <w:rPr>
                <w:rFonts w:ascii="Times New Roman" w:hAnsi="Times New Roman"/>
                <w:b/>
                <w:highlight w:val="white"/>
                <w:lang w:val="en-US"/>
              </w:rPr>
              <w:t xml:space="preserve">HP</w:t>
            </w:r>
            <w:r>
              <w:rPr>
                <w:rFonts w:ascii="Times New Roman" w:hAnsi="Times New Roman"/>
                <w:b/>
                <w:highlight w:val="white"/>
              </w:rPr>
              <w:t xml:space="preserve"> </w:t>
            </w:r>
            <w:r>
              <w:rPr>
                <w:rFonts w:ascii="Times New Roman" w:hAnsi="Times New Roman"/>
                <w:b/>
                <w:highlight w:val="white"/>
                <w:lang w:val="en-US"/>
              </w:rPr>
              <w:t xml:space="preserve">LaserJet</w:t>
            </w:r>
            <w:r>
              <w:rPr>
                <w:rFonts w:ascii="Times New Roman" w:hAnsi="Times New Roman"/>
                <w:b/>
                <w:highlight w:val="white"/>
              </w:rPr>
              <w:t xml:space="preserve"> </w:t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</w:tr>
      <w:tr>
        <w:tblPrEx/>
        <w:trPr/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2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№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7856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Наименование</w:t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Кол-во</w:t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127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Ед. изм.</w:t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left w:w="10" w:type="dxa"/>
              <w:right w:w="10" w:type="dxa"/>
            </w:tcMar>
            <w:tcW w:w="155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Ц</w:t>
            </w:r>
            <w:r>
              <w:rPr>
                <w:rFonts w:ascii="Times New Roman" w:hAnsi="Times New Roman"/>
                <w:b/>
                <w:highlight w:val="white"/>
              </w:rPr>
              <w:t xml:space="preserve">ена за единицу</w:t>
            </w:r>
            <w:r>
              <w:rPr>
                <w:rFonts w:ascii="Times New Roman" w:hAnsi="Times New Roman"/>
                <w:b/>
                <w:highlight w:val="white"/>
              </w:rPr>
              <w:t xml:space="preserve"> в </w:t>
            </w:r>
            <w:r>
              <w:rPr>
                <w:rFonts w:ascii="Times New Roman" w:hAnsi="Times New Roman"/>
                <w:b/>
                <w:highlight w:val="white"/>
              </w:rPr>
              <w:t xml:space="preserve">руб.</w:t>
            </w:r>
            <w:r>
              <w:rPr>
                <w:rFonts w:ascii="Times New Roman" w:hAnsi="Times New Roman"/>
                <w:b/>
                <w:highlight w:val="white"/>
              </w:rPr>
              <w:t xml:space="preserve">,</w:t>
            </w:r>
            <w:r>
              <w:rPr>
                <w:rFonts w:ascii="Times New Roman" w:hAnsi="Times New Roman"/>
                <w:b/>
                <w:highlight w:val="white"/>
              </w:rPr>
              <w:t xml:space="preserve"> в т. ч. НДС 22%</w:t>
            </w:r>
            <w:r>
              <w:rPr>
                <w:rFonts w:ascii="Times New Roman" w:hAnsi="Times New Roman"/>
                <w:b/>
                <w:highlight w:val="white"/>
              </w:rPr>
              <w:t xml:space="preserve">                                          </w:t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561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b/>
                <w:highlight w:val="white"/>
              </w:rPr>
            </w:pPr>
            <w:r>
              <w:rPr>
                <w:rFonts w:ascii="Times New Roman" w:hAnsi="Times New Roman"/>
                <w:b/>
                <w:highlight w:val="white"/>
              </w:rPr>
              <w:t xml:space="preserve">Стоимость в </w:t>
            </w:r>
            <w:r>
              <w:rPr>
                <w:rFonts w:ascii="Times New Roman" w:hAnsi="Times New Roman"/>
                <w:b/>
                <w:highlight w:val="white"/>
              </w:rPr>
              <w:t xml:space="preserve">руб</w:t>
            </w:r>
            <w:r>
              <w:rPr>
                <w:rFonts w:ascii="Times New Roman" w:hAnsi="Times New Roman"/>
                <w:b/>
                <w:highlight w:val="white"/>
              </w:rPr>
              <w:t xml:space="preserve">,</w:t>
            </w:r>
            <w:r>
              <w:rPr>
                <w:rFonts w:ascii="Times New Roman" w:hAnsi="Times New Roman"/>
                <w:b/>
                <w:highlight w:val="white"/>
              </w:rPr>
              <w:t xml:space="preserve"> в т. ч. НДС 22%</w:t>
            </w:r>
            <w:r>
              <w:rPr>
                <w:rFonts w:ascii="Times New Roman" w:hAnsi="Times New Roman"/>
                <w:b/>
                <w:highlight w:val="white"/>
              </w:rPr>
              <w:t xml:space="preserve">                                          </w:t>
            </w:r>
            <w:r>
              <w:rPr>
                <w:rFonts w:ascii="Times New Roman" w:hAnsi="Times New Roman"/>
                <w:b/>
                <w:highlight w:val="white"/>
              </w:rPr>
            </w:r>
          </w:p>
        </w:tc>
      </w:tr>
      <w:tr>
        <w:tblPrEx/>
        <w:trPr>
          <w:trHeight w:val="368"/>
        </w:trPr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656" w:type="dxa"/>
            <w:vAlign w:val="center"/>
            <w:textDirection w:val="lrTb"/>
            <w:noWrap w:val="false"/>
          </w:tcPr>
          <w:p>
            <w:pPr>
              <w:jc w:val="center"/>
              <w:spacing w:after="0" w:line="220" w:lineRule="exac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highlight w:val="white"/>
              </w:rPr>
              <w:t xml:space="preserve">1.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7856" w:type="dxa"/>
            <w:vAlign w:val="center"/>
            <w:textDirection w:val="lrTb"/>
            <w:noWrap w:val="false"/>
          </w:tcPr>
          <w:p>
            <w:pPr>
              <w:spacing w:after="0"/>
              <w:tabs>
                <w:tab w:val="left" w:pos="49" w:leader="none"/>
              </w:tabs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Картридж</w:t>
            </w:r>
            <w:r>
              <w:rPr>
                <w:rFonts w:ascii="Times New Roman" w:hAnsi="Times New Roman"/>
              </w:rPr>
              <w:t xml:space="preserve">, </w:t>
            </w:r>
            <w:r>
              <w:rPr>
                <w:rFonts w:ascii="Times New Roman" w:hAnsi="Times New Roman"/>
              </w:rPr>
              <w:t xml:space="preserve">кат</w:t>
            </w:r>
            <w:r>
              <w:rPr>
                <w:rFonts w:ascii="Times New Roman" w:hAnsi="Times New Roman"/>
              </w:rPr>
              <w:t xml:space="preserve">.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 xml:space="preserve">№ </w:t>
            </w:r>
            <w:r>
              <w:rPr>
                <w:rFonts w:ascii="Times New Roman" w:hAnsi="Times New Roman"/>
                <w:lang w:val="en-US"/>
              </w:rPr>
              <w:t xml:space="preserve">HP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 xml:space="preserve">W</w:t>
            </w:r>
            <w:r>
              <w:rPr>
                <w:rFonts w:ascii="Times New Roman" w:hAnsi="Times New Roman"/>
              </w:rPr>
              <w:t xml:space="preserve">1470</w:t>
            </w:r>
            <w:r>
              <w:rPr>
                <w:rFonts w:ascii="Times New Roman" w:hAnsi="Times New Roman"/>
                <w:lang w:val="en-US"/>
              </w:rPr>
              <w:t xml:space="preserve">Y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1557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10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1279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шт.</w:t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tcMar>
              <w:left w:w="10" w:type="dxa"/>
              <w:right w:w="10" w:type="dxa"/>
            </w:tcMar>
            <w:tcW w:w="1558" w:type="dxa"/>
            <w:vAlign w:val="center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56 000</w:t>
            </w:r>
            <w:r>
              <w:rPr>
                <w:rFonts w:ascii="Times New Roman" w:hAnsi="Times New Roman"/>
                <w:b/>
              </w:rPr>
              <w:t xml:space="preserve">,00</w:t>
            </w:r>
            <w:r>
              <w:rPr>
                <w:rFonts w:ascii="Times New Roman" w:hAnsi="Times New Roman"/>
                <w:b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561" w:type="dxa"/>
            <w:vAlign w:val="center"/>
            <w:vMerge w:val="restart"/>
            <w:textDirection w:val="lrTb"/>
            <w:noWrap w:val="false"/>
          </w:tcPr>
          <w:p>
            <w:pPr>
              <w:jc w:val="center"/>
              <w:spacing w:after="0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 xml:space="preserve">560 000</w:t>
            </w:r>
            <w:r>
              <w:rPr>
                <w:rFonts w:ascii="Times New Roman" w:hAnsi="Times New Roman"/>
                <w:b/>
              </w:rPr>
              <w:t xml:space="preserve">,00</w:t>
            </w:r>
            <w:r>
              <w:rPr>
                <w:rFonts w:ascii="Times New Roman" w:hAnsi="Times New Roman"/>
                <w:b/>
              </w:rPr>
            </w:r>
            <w:r/>
            <w:r/>
            <w:r>
              <w:rPr>
                <w:rFonts w:ascii="Times New Roman" w:hAnsi="Times New Roman"/>
                <w:b/>
              </w:rPr>
            </w:r>
          </w:p>
        </w:tc>
      </w:tr>
      <w:tr>
        <w:tblPrEx/>
        <w:trPr>
          <w:trHeight w:val="368"/>
        </w:trPr>
        <w:tc>
          <w:tcPr>
            <w:gridSpan w:val="5"/>
            <w:shd w:val="clear" w:color="auto" w:fill="ffffff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left w:w="10" w:type="dxa"/>
              <w:right w:w="10" w:type="dxa"/>
            </w:tcMar>
            <w:tcW w:w="12906" w:type="dxa"/>
            <w:vAlign w:val="center"/>
            <w:textDirection w:val="lrTb"/>
            <w:noWrap w:val="false"/>
          </w:tcPr>
          <w:p>
            <w:pPr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Начальная максимальная цена договора в руб. с НДС 2</w:t>
            </w:r>
            <w:r>
              <w:rPr>
                <w:rFonts w:ascii="Times New Roman" w:hAnsi="Times New Roman"/>
              </w:rPr>
              <w:t xml:space="preserve">2</w:t>
            </w:r>
            <w:r>
              <w:rPr>
                <w:rFonts w:ascii="Times New Roman" w:hAnsi="Times New Roman"/>
              </w:rPr>
              <w:t xml:space="preserve">%</w:t>
            </w:r>
            <w:r>
              <w:rPr>
                <w:rFonts w:ascii="Times New Roman" w:hAnsi="Times New Roman"/>
              </w:rPr>
              <w:t xml:space="preserve">:</w:t>
            </w:r>
            <w:r>
              <w:rPr>
                <w:rFonts w:ascii="Times New Roman" w:hAnsi="Times New Roman"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  <w:b/>
              </w:rPr>
            </w:r>
            <w:r>
              <w:rPr>
                <w:rFonts w:ascii="Times New Roman" w:hAnsi="Times New Roman"/>
              </w:rPr>
            </w:r>
          </w:p>
        </w:tc>
        <w:tc>
          <w:tcPr>
            <w:shd w:val="clear" w:color="auto" w:fill="ffffff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tcW w:w="1561" w:type="dxa"/>
            <w:vAlign w:val="center"/>
            <w:vMerge w:val="continue"/>
            <w:textDirection w:val="lrTb"/>
            <w:noWrap w:val="false"/>
          </w:tcPr>
          <w:p>
            <w:r/>
          </w:p>
        </w:tc>
      </w:tr>
    </w:tbl>
    <w:p>
      <w:pPr>
        <w:tabs>
          <w:tab w:val="left" w:pos="7890" w:leader="none"/>
        </w:tabs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sectPr>
      <w:footnotePr/>
      <w:endnotePr/>
      <w:type w:val="nextPage"/>
      <w:pgSz w:w="16838" w:h="11906" w:orient="landscape"/>
      <w:pgMar w:top="850" w:right="1134" w:bottom="993" w:left="1134" w:header="708" w:footer="708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XO Thames">
    <w:panose1 w:val="020206030504050203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3780" w:hanging="360"/>
        <w:tabs>
          <w:tab w:val="left" w:pos="37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ind w:left="4500" w:hanging="360"/>
        <w:tabs>
          <w:tab w:val="left" w:pos="45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ind w:left="5220" w:hanging="180"/>
        <w:tabs>
          <w:tab w:val="left" w:pos="52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5940" w:hanging="360"/>
        <w:tabs>
          <w:tab w:val="left" w:pos="59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ind w:left="6660" w:hanging="360"/>
        <w:tabs>
          <w:tab w:val="left" w:pos="66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ind w:left="7380" w:hanging="180"/>
        <w:tabs>
          <w:tab w:val="left" w:pos="73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8100" w:hanging="360"/>
        <w:tabs>
          <w:tab w:val="left" w:pos="81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ind w:left="8820" w:hanging="360"/>
        <w:tabs>
          <w:tab w:val="left" w:pos="88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ind w:left="9540" w:hanging="180"/>
        <w:tabs>
          <w:tab w:val="left" w:pos="9540" w:leader="none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eastAsia="Times New Roman" w:cs="Times New Roman" w:asciiTheme="minorHAnsi" w:hAnsiTheme="minorHAnsi"/>
        <w:color w:val="000000"/>
        <w:sz w:val="22"/>
        <w:lang w:val="ru-RU" w:eastAsia="ru-RU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14">
    <w:name w:val="Heading 1 Char"/>
    <w:basedOn w:val="625"/>
    <w:link w:val="620"/>
    <w:uiPriority w:val="9"/>
    <w:rPr>
      <w:rFonts w:ascii="Arial" w:hAnsi="Arial" w:eastAsia="Arial" w:cs="Arial"/>
      <w:sz w:val="40"/>
      <w:szCs w:val="40"/>
    </w:rPr>
  </w:style>
  <w:style w:type="character" w:styleId="16">
    <w:name w:val="Heading 2 Char"/>
    <w:basedOn w:val="625"/>
    <w:link w:val="621"/>
    <w:uiPriority w:val="9"/>
    <w:rPr>
      <w:rFonts w:ascii="Arial" w:hAnsi="Arial" w:eastAsia="Arial" w:cs="Arial"/>
      <w:sz w:val="34"/>
    </w:rPr>
  </w:style>
  <w:style w:type="character" w:styleId="18">
    <w:name w:val="Heading 3 Char"/>
    <w:basedOn w:val="625"/>
    <w:link w:val="622"/>
    <w:uiPriority w:val="9"/>
    <w:rPr>
      <w:rFonts w:ascii="Arial" w:hAnsi="Arial" w:eastAsia="Arial" w:cs="Arial"/>
      <w:sz w:val="30"/>
      <w:szCs w:val="30"/>
    </w:rPr>
  </w:style>
  <w:style w:type="character" w:styleId="20">
    <w:name w:val="Heading 4 Char"/>
    <w:basedOn w:val="625"/>
    <w:link w:val="623"/>
    <w:uiPriority w:val="9"/>
    <w:rPr>
      <w:rFonts w:ascii="Arial" w:hAnsi="Arial" w:eastAsia="Arial" w:cs="Arial"/>
      <w:b/>
      <w:bCs/>
      <w:sz w:val="26"/>
      <w:szCs w:val="26"/>
    </w:rPr>
  </w:style>
  <w:style w:type="character" w:styleId="22">
    <w:name w:val="Heading 5 Char"/>
    <w:basedOn w:val="625"/>
    <w:link w:val="624"/>
    <w:uiPriority w:val="9"/>
    <w:rPr>
      <w:rFonts w:ascii="Arial" w:hAnsi="Arial" w:eastAsia="Arial" w:cs="Arial"/>
      <w:b/>
      <w:bCs/>
      <w:sz w:val="24"/>
      <w:szCs w:val="24"/>
    </w:rPr>
  </w:style>
  <w:style w:type="paragraph" w:styleId="23">
    <w:name w:val="Heading 6"/>
    <w:basedOn w:val="619"/>
    <w:next w:val="619"/>
    <w:link w:val="24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24">
    <w:name w:val="Heading 6 Char"/>
    <w:basedOn w:val="625"/>
    <w:link w:val="23"/>
    <w:uiPriority w:val="9"/>
    <w:rPr>
      <w:rFonts w:ascii="Arial" w:hAnsi="Arial" w:eastAsia="Arial" w:cs="Arial"/>
      <w:b/>
      <w:bCs/>
      <w:sz w:val="22"/>
      <w:szCs w:val="22"/>
    </w:rPr>
  </w:style>
  <w:style w:type="paragraph" w:styleId="25">
    <w:name w:val="Heading 7"/>
    <w:basedOn w:val="619"/>
    <w:next w:val="619"/>
    <w:link w:val="26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26">
    <w:name w:val="Heading 7 Char"/>
    <w:basedOn w:val="625"/>
    <w:link w:val="25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27">
    <w:name w:val="Heading 8"/>
    <w:basedOn w:val="619"/>
    <w:next w:val="619"/>
    <w:link w:val="28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28">
    <w:name w:val="Heading 8 Char"/>
    <w:basedOn w:val="625"/>
    <w:link w:val="27"/>
    <w:uiPriority w:val="9"/>
    <w:rPr>
      <w:rFonts w:ascii="Arial" w:hAnsi="Arial" w:eastAsia="Arial" w:cs="Arial"/>
      <w:i/>
      <w:iCs/>
      <w:sz w:val="22"/>
      <w:szCs w:val="22"/>
    </w:rPr>
  </w:style>
  <w:style w:type="paragraph" w:styleId="29">
    <w:name w:val="Heading 9"/>
    <w:basedOn w:val="619"/>
    <w:next w:val="619"/>
    <w:link w:val="30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30">
    <w:name w:val="Heading 9 Char"/>
    <w:basedOn w:val="625"/>
    <w:link w:val="29"/>
    <w:uiPriority w:val="9"/>
    <w:rPr>
      <w:rFonts w:ascii="Arial" w:hAnsi="Arial" w:eastAsia="Arial" w:cs="Arial"/>
      <w:i/>
      <w:iCs/>
      <w:sz w:val="21"/>
      <w:szCs w:val="21"/>
    </w:rPr>
  </w:style>
  <w:style w:type="paragraph" w:styleId="33">
    <w:name w:val="No Spacing"/>
    <w:uiPriority w:val="1"/>
    <w:qFormat/>
    <w:pPr>
      <w:spacing w:before="0" w:after="0" w:line="240" w:lineRule="auto"/>
    </w:pPr>
  </w:style>
  <w:style w:type="character" w:styleId="35">
    <w:name w:val="Title Char"/>
    <w:basedOn w:val="625"/>
    <w:link w:val="675"/>
    <w:uiPriority w:val="10"/>
    <w:rPr>
      <w:sz w:val="48"/>
      <w:szCs w:val="48"/>
    </w:rPr>
  </w:style>
  <w:style w:type="character" w:styleId="37">
    <w:name w:val="Subtitle Char"/>
    <w:basedOn w:val="625"/>
    <w:link w:val="673"/>
    <w:uiPriority w:val="11"/>
    <w:rPr>
      <w:sz w:val="24"/>
      <w:szCs w:val="24"/>
    </w:rPr>
  </w:style>
  <w:style w:type="paragraph" w:styleId="38">
    <w:name w:val="Quote"/>
    <w:basedOn w:val="619"/>
    <w:next w:val="619"/>
    <w:link w:val="39"/>
    <w:uiPriority w:val="29"/>
    <w:qFormat/>
    <w:pPr>
      <w:ind w:left="720" w:right="720"/>
    </w:pPr>
    <w:rPr>
      <w:i/>
    </w:rPr>
  </w:style>
  <w:style w:type="character" w:styleId="39">
    <w:name w:val="Quote Char"/>
    <w:link w:val="38"/>
    <w:uiPriority w:val="29"/>
    <w:rPr>
      <w:i/>
    </w:rPr>
  </w:style>
  <w:style w:type="paragraph" w:styleId="40">
    <w:name w:val="Intense Quote"/>
    <w:basedOn w:val="619"/>
    <w:next w:val="619"/>
    <w:link w:val="41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1">
    <w:name w:val="Intense Quote Char"/>
    <w:link w:val="40"/>
    <w:uiPriority w:val="30"/>
    <w:rPr>
      <w:i/>
    </w:rPr>
  </w:style>
  <w:style w:type="paragraph" w:styleId="42">
    <w:name w:val="Header"/>
    <w:basedOn w:val="619"/>
    <w:link w:val="43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3">
    <w:name w:val="Header Char"/>
    <w:basedOn w:val="625"/>
    <w:link w:val="42"/>
    <w:uiPriority w:val="99"/>
  </w:style>
  <w:style w:type="paragraph" w:styleId="44">
    <w:name w:val="Footer"/>
    <w:basedOn w:val="619"/>
    <w:link w:val="4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5">
    <w:name w:val="Footer Char"/>
    <w:basedOn w:val="625"/>
    <w:link w:val="44"/>
    <w:uiPriority w:val="99"/>
  </w:style>
  <w:style w:type="paragraph" w:styleId="46">
    <w:name w:val="Caption"/>
    <w:basedOn w:val="619"/>
    <w:next w:val="61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7">
    <w:name w:val="Caption Char"/>
    <w:basedOn w:val="46"/>
    <w:link w:val="44"/>
    <w:uiPriority w:val="99"/>
  </w:style>
  <w:style w:type="table" w:styleId="48">
    <w:name w:val="Table Grid"/>
    <w:basedOn w:val="626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49">
    <w:name w:val="Table Grid Light"/>
    <w:basedOn w:val="62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Plain Table 1"/>
    <w:basedOn w:val="626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1">
    <w:name w:val="Plain Table 2"/>
    <w:basedOn w:val="626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52">
    <w:name w:val="Plain Table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3">
    <w:name w:val="Plain Table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4">
    <w:name w:val="Plain Table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5">
    <w:name w:val="Grid Table 1 Light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6">
    <w:name w:val="Grid Table 1 Light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3">
    <w:name w:val="Grid Table 2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4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">
    <w:name w:val="Grid Table 4 - Accent 1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">
    <w:name w:val="Grid Table 4 - Accent 2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9">
    <w:name w:val="Grid Table 4 - Accent 3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0">
    <w:name w:val="Grid Table 4 - Accent 4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1">
    <w:name w:val="Grid Table 4 - Accent 5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">
    <w:name w:val="Grid Table 4 - Accent 6"/>
    <w:basedOn w:val="62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3">
    <w:name w:val="Grid Table 5 Dark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4">
    <w:name w:val="Grid Table 5 Dark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5">
    <w:name w:val="Grid Table 5 Dark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7">
    <w:name w:val="Grid Table 5 Dark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8">
    <w:name w:val="Grid Table 5 Dark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90">
    <w:name w:val="Grid Table 6 Colorful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91">
    <w:name w:val="Grid Table 6 Colorful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92">
    <w:name w:val="Grid Table 6 Colorful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93">
    <w:name w:val="Grid Table 6 Colorful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94">
    <w:name w:val="Grid Table 6 Colorful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95">
    <w:name w:val="Grid Table 6 Colorful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6">
    <w:name w:val="Grid Table 6 Colorful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97">
    <w:name w:val="Grid Table 7 Colorful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8">
    <w:name w:val="Grid Table 7 Colorful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4">
    <w:name w:val="List Table 1 Light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5">
    <w:name w:val="List Table 1 Light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2">
    <w:name w:val="List Table 2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3">
    <w:name w:val="List Table 2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4">
    <w:name w:val="List Table 2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5">
    <w:name w:val="List Table 2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6">
    <w:name w:val="List Table 2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7">
    <w:name w:val="List Table 2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8">
    <w:name w:val="List Table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19">
    <w:name w:val="List Table 3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5 Dark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3">
    <w:name w:val="List Table 5 Dark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4">
    <w:name w:val="List Table 5 Dark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5">
    <w:name w:val="List Table 5 Dark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6">
    <w:name w:val="List Table 5 Dark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7">
    <w:name w:val="List Table 5 Dark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8">
    <w:name w:val="List Table 5 Dark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139">
    <w:name w:val="List Table 6 Colorful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0">
    <w:name w:val="List Table 6 Colorful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1">
    <w:name w:val="List Table 6 Colorful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2">
    <w:name w:val="List Table 6 Colorful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3">
    <w:name w:val="List Table 6 Colorful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4">
    <w:name w:val="List Table 6 Colorful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5">
    <w:name w:val="List Table 6 Colorful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6">
    <w:name w:val="List Table 7 Colorful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147">
    <w:name w:val="List Table 7 Colorful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148">
    <w:name w:val="List Table 7 Colorful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149">
    <w:name w:val="List Table 7 Colorful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150">
    <w:name w:val="List Table 7 Colorful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151">
    <w:name w:val="List Table 7 Colorful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152">
    <w:name w:val="List Table 7 Colorful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153">
    <w:name w:val="Lined - Accent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4">
    <w:name w:val="Lined - Accent 1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55">
    <w:name w:val="Lined - Accent 2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56">
    <w:name w:val="Lined - Accent 3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57">
    <w:name w:val="Lined - Accent 4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58">
    <w:name w:val="Lined - Accent 5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59">
    <w:name w:val="Lined - Accent 6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0">
    <w:name w:val="Bordered &amp; Lined - Accent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1">
    <w:name w:val="Bordered &amp; Lined - Accent 1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162">
    <w:name w:val="Bordered &amp; Lined - Accent 2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163">
    <w:name w:val="Bordered &amp; Lined - Accent 3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164">
    <w:name w:val="Bordered &amp; Lined - Accent 4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165">
    <w:name w:val="Bordered &amp; Lined - Accent 5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166">
    <w:name w:val="Bordered &amp; Lined - Accent 6"/>
    <w:basedOn w:val="62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167">
    <w:name w:val="Bordered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8">
    <w:name w:val="Bordered - Accent 1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69">
    <w:name w:val="Bordered - Accent 2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0">
    <w:name w:val="Bordered - Accent 3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1">
    <w:name w:val="Bordered - Accent 4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2">
    <w:name w:val="Bordered - Accent 5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3">
    <w:name w:val="Bordered - Accent 6"/>
    <w:basedOn w:val="62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175">
    <w:name w:val="footnote text"/>
    <w:basedOn w:val="619"/>
    <w:link w:val="176"/>
    <w:uiPriority w:val="99"/>
    <w:semiHidden/>
    <w:unhideWhenUsed/>
    <w:pPr>
      <w:spacing w:after="40" w:line="240" w:lineRule="auto"/>
    </w:pPr>
    <w:rPr>
      <w:sz w:val="18"/>
    </w:rPr>
  </w:style>
  <w:style w:type="character" w:styleId="176">
    <w:name w:val="Footnote Text Char"/>
    <w:link w:val="175"/>
    <w:uiPriority w:val="99"/>
    <w:rPr>
      <w:sz w:val="18"/>
    </w:rPr>
  </w:style>
  <w:style w:type="character" w:styleId="177">
    <w:name w:val="footnote reference"/>
    <w:basedOn w:val="625"/>
    <w:uiPriority w:val="99"/>
    <w:unhideWhenUsed/>
    <w:rPr>
      <w:vertAlign w:val="superscript"/>
    </w:rPr>
  </w:style>
  <w:style w:type="paragraph" w:styleId="178">
    <w:name w:val="endnote text"/>
    <w:basedOn w:val="619"/>
    <w:link w:val="179"/>
    <w:uiPriority w:val="99"/>
    <w:semiHidden/>
    <w:unhideWhenUsed/>
    <w:pPr>
      <w:spacing w:after="0" w:line="240" w:lineRule="auto"/>
    </w:pPr>
    <w:rPr>
      <w:sz w:val="20"/>
    </w:rPr>
  </w:style>
  <w:style w:type="character" w:styleId="179">
    <w:name w:val="Endnote Text Char"/>
    <w:link w:val="178"/>
    <w:uiPriority w:val="99"/>
    <w:rPr>
      <w:sz w:val="20"/>
    </w:rPr>
  </w:style>
  <w:style w:type="character" w:styleId="180">
    <w:name w:val="endnote reference"/>
    <w:basedOn w:val="625"/>
    <w:uiPriority w:val="99"/>
    <w:semiHidden/>
    <w:unhideWhenUsed/>
    <w:rPr>
      <w:vertAlign w:val="superscript"/>
    </w:rPr>
  </w:style>
  <w:style w:type="paragraph" w:styleId="190">
    <w:name w:val="TOC Heading"/>
    <w:uiPriority w:val="39"/>
    <w:unhideWhenUsed/>
  </w:style>
  <w:style w:type="paragraph" w:styleId="191">
    <w:name w:val="table of figures"/>
    <w:basedOn w:val="619"/>
    <w:next w:val="619"/>
    <w:uiPriority w:val="99"/>
    <w:unhideWhenUsed/>
    <w:pPr>
      <w:spacing w:after="0" w:afterAutospacing="0"/>
    </w:pPr>
  </w:style>
  <w:style w:type="paragraph" w:styleId="619" w:default="1">
    <w:name w:val="Normal"/>
    <w:link w:val="628"/>
    <w:qFormat/>
  </w:style>
  <w:style w:type="paragraph" w:styleId="620">
    <w:name w:val="Heading 1"/>
    <w:next w:val="619"/>
    <w:link w:val="656"/>
    <w:uiPriority w:val="9"/>
    <w:qFormat/>
    <w:pPr>
      <w:jc w:val="both"/>
      <w:spacing w:before="120" w:after="120"/>
      <w:outlineLvl w:val="0"/>
    </w:pPr>
    <w:rPr>
      <w:rFonts w:ascii="XO Thames" w:hAnsi="XO Thames"/>
      <w:b/>
      <w:sz w:val="32"/>
    </w:rPr>
  </w:style>
  <w:style w:type="paragraph" w:styleId="621">
    <w:name w:val="Heading 2"/>
    <w:next w:val="619"/>
    <w:link w:val="678"/>
    <w:uiPriority w:val="9"/>
    <w:qFormat/>
    <w:pPr>
      <w:jc w:val="both"/>
      <w:spacing w:before="120" w:after="120"/>
      <w:outlineLvl w:val="1"/>
    </w:pPr>
    <w:rPr>
      <w:rFonts w:ascii="XO Thames" w:hAnsi="XO Thames"/>
      <w:b/>
      <w:sz w:val="28"/>
    </w:rPr>
  </w:style>
  <w:style w:type="paragraph" w:styleId="622">
    <w:name w:val="Heading 3"/>
    <w:next w:val="619"/>
    <w:link w:val="642"/>
    <w:uiPriority w:val="9"/>
    <w:qFormat/>
    <w:pPr>
      <w:jc w:val="both"/>
      <w:spacing w:before="120" w:after="120"/>
      <w:outlineLvl w:val="2"/>
    </w:pPr>
    <w:rPr>
      <w:rFonts w:ascii="XO Thames" w:hAnsi="XO Thames"/>
      <w:b/>
      <w:sz w:val="26"/>
    </w:rPr>
  </w:style>
  <w:style w:type="paragraph" w:styleId="623">
    <w:name w:val="Heading 4"/>
    <w:next w:val="619"/>
    <w:link w:val="677"/>
    <w:uiPriority w:val="9"/>
    <w:qFormat/>
    <w:pPr>
      <w:jc w:val="both"/>
      <w:spacing w:before="120" w:after="120"/>
      <w:outlineLvl w:val="3"/>
    </w:pPr>
    <w:rPr>
      <w:rFonts w:ascii="XO Thames" w:hAnsi="XO Thames"/>
      <w:b/>
      <w:sz w:val="24"/>
    </w:rPr>
  </w:style>
  <w:style w:type="paragraph" w:styleId="624">
    <w:name w:val="Heading 5"/>
    <w:next w:val="619"/>
    <w:link w:val="653"/>
    <w:uiPriority w:val="9"/>
    <w:qFormat/>
    <w:pPr>
      <w:jc w:val="both"/>
      <w:spacing w:before="120" w:after="120"/>
      <w:outlineLvl w:val="4"/>
    </w:pPr>
    <w:rPr>
      <w:rFonts w:ascii="XO Thames" w:hAnsi="XO Thames"/>
      <w:b/>
    </w:rPr>
  </w:style>
  <w:style w:type="character" w:styleId="625" w:default="1">
    <w:name w:val="Default Paragraph Font"/>
    <w:uiPriority w:val="1"/>
    <w:semiHidden/>
    <w:unhideWhenUsed/>
  </w:style>
  <w:style w:type="table" w:styleId="626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7" w:default="1">
    <w:name w:val="No List"/>
    <w:uiPriority w:val="99"/>
    <w:semiHidden/>
    <w:unhideWhenUsed/>
  </w:style>
  <w:style w:type="character" w:styleId="628" w:customStyle="1">
    <w:name w:val="Обычный1"/>
  </w:style>
  <w:style w:type="paragraph" w:styleId="629">
    <w:name w:val="toc 2"/>
    <w:next w:val="619"/>
    <w:link w:val="630"/>
    <w:uiPriority w:val="39"/>
    <w:pPr>
      <w:ind w:left="200"/>
    </w:pPr>
    <w:rPr>
      <w:rFonts w:ascii="XO Thames" w:hAnsi="XO Thames"/>
      <w:sz w:val="28"/>
    </w:rPr>
  </w:style>
  <w:style w:type="character" w:styleId="630" w:customStyle="1">
    <w:name w:val="Оглавление 2 Знак"/>
    <w:link w:val="629"/>
    <w:rPr>
      <w:rFonts w:ascii="XO Thames" w:hAnsi="XO Thames"/>
      <w:sz w:val="28"/>
    </w:rPr>
  </w:style>
  <w:style w:type="paragraph" w:styleId="631">
    <w:name w:val="toc 4"/>
    <w:next w:val="619"/>
    <w:link w:val="632"/>
    <w:uiPriority w:val="39"/>
    <w:pPr>
      <w:ind w:left="600"/>
    </w:pPr>
    <w:rPr>
      <w:rFonts w:ascii="XO Thames" w:hAnsi="XO Thames"/>
      <w:sz w:val="28"/>
    </w:rPr>
  </w:style>
  <w:style w:type="character" w:styleId="632" w:customStyle="1">
    <w:name w:val="Оглавление 4 Знак"/>
    <w:link w:val="631"/>
    <w:rPr>
      <w:rFonts w:ascii="XO Thames" w:hAnsi="XO Thames"/>
      <w:sz w:val="28"/>
    </w:rPr>
  </w:style>
  <w:style w:type="paragraph" w:styleId="633" w:customStyle="1">
    <w:name w:val="Основной шрифт абзаца1"/>
  </w:style>
  <w:style w:type="paragraph" w:styleId="634">
    <w:name w:val="annotation subject"/>
    <w:basedOn w:val="654"/>
    <w:next w:val="654"/>
    <w:link w:val="635"/>
    <w:rPr>
      <w:b/>
    </w:rPr>
  </w:style>
  <w:style w:type="character" w:styleId="635" w:customStyle="1">
    <w:name w:val="Тема примечания Знак"/>
    <w:basedOn w:val="655"/>
    <w:link w:val="634"/>
    <w:rPr>
      <w:b/>
      <w:sz w:val="20"/>
    </w:rPr>
  </w:style>
  <w:style w:type="paragraph" w:styleId="636">
    <w:name w:val="toc 6"/>
    <w:next w:val="619"/>
    <w:link w:val="637"/>
    <w:uiPriority w:val="39"/>
    <w:pPr>
      <w:ind w:left="1000"/>
    </w:pPr>
    <w:rPr>
      <w:rFonts w:ascii="XO Thames" w:hAnsi="XO Thames"/>
      <w:sz w:val="28"/>
    </w:rPr>
  </w:style>
  <w:style w:type="character" w:styleId="637" w:customStyle="1">
    <w:name w:val="Оглавление 6 Знак"/>
    <w:link w:val="636"/>
    <w:rPr>
      <w:rFonts w:ascii="XO Thames" w:hAnsi="XO Thames"/>
      <w:sz w:val="28"/>
    </w:rPr>
  </w:style>
  <w:style w:type="paragraph" w:styleId="638">
    <w:name w:val="toc 7"/>
    <w:next w:val="619"/>
    <w:link w:val="639"/>
    <w:uiPriority w:val="39"/>
    <w:pPr>
      <w:ind w:left="1200"/>
    </w:pPr>
    <w:rPr>
      <w:rFonts w:ascii="XO Thames" w:hAnsi="XO Thames"/>
      <w:sz w:val="28"/>
    </w:rPr>
  </w:style>
  <w:style w:type="character" w:styleId="639" w:customStyle="1">
    <w:name w:val="Оглавление 7 Знак"/>
    <w:link w:val="638"/>
    <w:rPr>
      <w:rFonts w:ascii="XO Thames" w:hAnsi="XO Thames"/>
      <w:sz w:val="28"/>
    </w:rPr>
  </w:style>
  <w:style w:type="paragraph" w:styleId="640" w:customStyle="1">
    <w:name w:val="Endnote"/>
    <w:link w:val="641"/>
    <w:pPr>
      <w:ind w:firstLine="851"/>
      <w:jc w:val="both"/>
    </w:pPr>
    <w:rPr>
      <w:rFonts w:ascii="XO Thames" w:hAnsi="XO Thames"/>
    </w:rPr>
  </w:style>
  <w:style w:type="character" w:styleId="641" w:customStyle="1">
    <w:name w:val="Endnote"/>
    <w:link w:val="640"/>
    <w:rPr>
      <w:rFonts w:ascii="XO Thames" w:hAnsi="XO Thames"/>
      <w:sz w:val="22"/>
    </w:rPr>
  </w:style>
  <w:style w:type="character" w:styleId="642" w:customStyle="1">
    <w:name w:val="Заголовок 3 Знак"/>
    <w:link w:val="622"/>
    <w:rPr>
      <w:rFonts w:ascii="XO Thames" w:hAnsi="XO Thames"/>
      <w:b/>
      <w:sz w:val="26"/>
    </w:rPr>
  </w:style>
  <w:style w:type="paragraph" w:styleId="643" w:customStyle="1">
    <w:name w:val="Основной текст (2) + 11 pt;Не полужирный"/>
    <w:basedOn w:val="645"/>
    <w:link w:val="644"/>
    <w:rPr>
      <w:b/>
      <w:highlight w:val="white"/>
    </w:rPr>
  </w:style>
  <w:style w:type="character" w:styleId="644" w:customStyle="1">
    <w:name w:val="Основной текст (2) + 11 pt;Не полужирный"/>
    <w:basedOn w:val="646"/>
    <w:link w:val="643"/>
    <w:rPr>
      <w:rFonts w:ascii="Times New Roman" w:hAnsi="Times New Roman"/>
      <w:b/>
      <w:color w:val="000000"/>
      <w:spacing w:val="0"/>
      <w:sz w:val="22"/>
      <w:highlight w:val="white"/>
    </w:rPr>
  </w:style>
  <w:style w:type="paragraph" w:styleId="645" w:customStyle="1">
    <w:name w:val="Основной текст (2)"/>
    <w:basedOn w:val="619"/>
    <w:link w:val="646"/>
    <w:pPr>
      <w:jc w:val="both"/>
      <w:spacing w:before="300" w:after="0" w:line="274" w:lineRule="exact"/>
      <w:widowControl w:val="off"/>
    </w:pPr>
    <w:rPr>
      <w:rFonts w:ascii="Times New Roman" w:hAnsi="Times New Roman"/>
    </w:rPr>
  </w:style>
  <w:style w:type="character" w:styleId="646" w:customStyle="1">
    <w:name w:val="Основной текст (2)"/>
    <w:basedOn w:val="628"/>
    <w:link w:val="645"/>
    <w:rPr>
      <w:rFonts w:ascii="Times New Roman" w:hAnsi="Times New Roman"/>
    </w:rPr>
  </w:style>
  <w:style w:type="paragraph" w:styleId="647">
    <w:name w:val="toc 3"/>
    <w:next w:val="619"/>
    <w:link w:val="648"/>
    <w:uiPriority w:val="39"/>
    <w:pPr>
      <w:ind w:left="400"/>
    </w:pPr>
    <w:rPr>
      <w:rFonts w:ascii="XO Thames" w:hAnsi="XO Thames"/>
      <w:sz w:val="28"/>
    </w:rPr>
  </w:style>
  <w:style w:type="character" w:styleId="648" w:customStyle="1">
    <w:name w:val="Оглавление 3 Знак"/>
    <w:link w:val="647"/>
    <w:rPr>
      <w:rFonts w:ascii="XO Thames" w:hAnsi="XO Thames"/>
      <w:sz w:val="28"/>
    </w:rPr>
  </w:style>
  <w:style w:type="paragraph" w:styleId="649">
    <w:name w:val="Balloon Text"/>
    <w:basedOn w:val="619"/>
    <w:link w:val="650"/>
    <w:pPr>
      <w:spacing w:after="0" w:line="240" w:lineRule="auto"/>
    </w:pPr>
    <w:rPr>
      <w:rFonts w:ascii="Tahoma" w:hAnsi="Tahoma"/>
      <w:sz w:val="16"/>
    </w:rPr>
  </w:style>
  <w:style w:type="character" w:styleId="650" w:customStyle="1">
    <w:name w:val="Текст выноски Знак"/>
    <w:basedOn w:val="628"/>
    <w:link w:val="649"/>
    <w:rPr>
      <w:rFonts w:ascii="Tahoma" w:hAnsi="Tahoma"/>
      <w:sz w:val="16"/>
    </w:rPr>
  </w:style>
  <w:style w:type="paragraph" w:styleId="651" w:customStyle="1">
    <w:name w:val="Основной текст (2) + 7;5 pt;Не полужирный"/>
    <w:basedOn w:val="645"/>
    <w:link w:val="652"/>
    <w:rPr>
      <w:b/>
      <w:sz w:val="15"/>
      <w:highlight w:val="white"/>
    </w:rPr>
  </w:style>
  <w:style w:type="character" w:styleId="652" w:customStyle="1">
    <w:name w:val="Основной текст (2) + 7;5 pt;Не полужирный"/>
    <w:basedOn w:val="646"/>
    <w:link w:val="651"/>
    <w:rPr>
      <w:rFonts w:ascii="Times New Roman" w:hAnsi="Times New Roman"/>
      <w:b/>
      <w:color w:val="000000"/>
      <w:spacing w:val="0"/>
      <w:sz w:val="15"/>
      <w:highlight w:val="white"/>
    </w:rPr>
  </w:style>
  <w:style w:type="character" w:styleId="653" w:customStyle="1">
    <w:name w:val="Заголовок 5 Знак"/>
    <w:link w:val="624"/>
    <w:rPr>
      <w:rFonts w:ascii="XO Thames" w:hAnsi="XO Thames"/>
      <w:b/>
      <w:sz w:val="22"/>
    </w:rPr>
  </w:style>
  <w:style w:type="paragraph" w:styleId="654">
    <w:name w:val="annotation text"/>
    <w:basedOn w:val="619"/>
    <w:link w:val="655"/>
    <w:pPr>
      <w:spacing w:line="240" w:lineRule="auto"/>
    </w:pPr>
    <w:rPr>
      <w:sz w:val="20"/>
    </w:rPr>
  </w:style>
  <w:style w:type="character" w:styleId="655" w:customStyle="1">
    <w:name w:val="Текст примечания Знак"/>
    <w:basedOn w:val="628"/>
    <w:link w:val="654"/>
    <w:rPr>
      <w:sz w:val="20"/>
    </w:rPr>
  </w:style>
  <w:style w:type="character" w:styleId="656" w:customStyle="1">
    <w:name w:val="Заголовок 1 Знак"/>
    <w:link w:val="620"/>
    <w:rPr>
      <w:rFonts w:ascii="XO Thames" w:hAnsi="XO Thames"/>
      <w:b/>
      <w:sz w:val="32"/>
    </w:rPr>
  </w:style>
  <w:style w:type="paragraph" w:styleId="657" w:customStyle="1">
    <w:name w:val="Гиперссылка1"/>
    <w:link w:val="658"/>
    <w:rPr>
      <w:color w:val="0000ff"/>
      <w:u w:val="single"/>
    </w:rPr>
  </w:style>
  <w:style w:type="character" w:styleId="658">
    <w:name w:val="Hyperlink"/>
    <w:link w:val="657"/>
    <w:rPr>
      <w:color w:val="0000ff"/>
      <w:u w:val="single"/>
    </w:rPr>
  </w:style>
  <w:style w:type="paragraph" w:styleId="659" w:customStyle="1">
    <w:name w:val="Footnote"/>
    <w:link w:val="660"/>
    <w:pPr>
      <w:ind w:firstLine="851"/>
      <w:jc w:val="both"/>
    </w:pPr>
    <w:rPr>
      <w:rFonts w:ascii="XO Thames" w:hAnsi="XO Thames"/>
    </w:rPr>
  </w:style>
  <w:style w:type="character" w:styleId="660" w:customStyle="1">
    <w:name w:val="Footnote"/>
    <w:link w:val="659"/>
    <w:rPr>
      <w:rFonts w:ascii="XO Thames" w:hAnsi="XO Thames"/>
      <w:sz w:val="22"/>
    </w:rPr>
  </w:style>
  <w:style w:type="paragraph" w:styleId="661">
    <w:name w:val="toc 1"/>
    <w:next w:val="619"/>
    <w:link w:val="662"/>
    <w:uiPriority w:val="39"/>
    <w:rPr>
      <w:rFonts w:ascii="XO Thames" w:hAnsi="XO Thames"/>
      <w:b/>
      <w:sz w:val="28"/>
    </w:rPr>
  </w:style>
  <w:style w:type="character" w:styleId="662" w:customStyle="1">
    <w:name w:val="Оглавление 1 Знак"/>
    <w:link w:val="661"/>
    <w:rPr>
      <w:rFonts w:ascii="XO Thames" w:hAnsi="XO Thames"/>
      <w:b/>
      <w:sz w:val="28"/>
    </w:rPr>
  </w:style>
  <w:style w:type="paragraph" w:styleId="663" w:customStyle="1">
    <w:name w:val="Header and Footer"/>
    <w:link w:val="664"/>
    <w:pPr>
      <w:jc w:val="both"/>
      <w:spacing w:line="240" w:lineRule="auto"/>
    </w:pPr>
    <w:rPr>
      <w:rFonts w:ascii="XO Thames" w:hAnsi="XO Thames"/>
      <w:sz w:val="28"/>
    </w:rPr>
  </w:style>
  <w:style w:type="character" w:styleId="664" w:customStyle="1">
    <w:name w:val="Header and Footer"/>
    <w:link w:val="663"/>
    <w:rPr>
      <w:rFonts w:ascii="XO Thames" w:hAnsi="XO Thames"/>
      <w:sz w:val="28"/>
    </w:rPr>
  </w:style>
  <w:style w:type="paragraph" w:styleId="665">
    <w:name w:val="toc 9"/>
    <w:next w:val="619"/>
    <w:link w:val="666"/>
    <w:uiPriority w:val="39"/>
    <w:pPr>
      <w:ind w:left="1600"/>
    </w:pPr>
    <w:rPr>
      <w:rFonts w:ascii="XO Thames" w:hAnsi="XO Thames"/>
      <w:sz w:val="28"/>
    </w:rPr>
  </w:style>
  <w:style w:type="character" w:styleId="666" w:customStyle="1">
    <w:name w:val="Оглавление 9 Знак"/>
    <w:link w:val="665"/>
    <w:rPr>
      <w:rFonts w:ascii="XO Thames" w:hAnsi="XO Thames"/>
      <w:sz w:val="28"/>
    </w:rPr>
  </w:style>
  <w:style w:type="paragraph" w:styleId="667">
    <w:name w:val="toc 8"/>
    <w:next w:val="619"/>
    <w:link w:val="668"/>
    <w:uiPriority w:val="39"/>
    <w:pPr>
      <w:ind w:left="1400"/>
    </w:pPr>
    <w:rPr>
      <w:rFonts w:ascii="XO Thames" w:hAnsi="XO Thames"/>
      <w:sz w:val="28"/>
    </w:rPr>
  </w:style>
  <w:style w:type="character" w:styleId="668" w:customStyle="1">
    <w:name w:val="Оглавление 8 Знак"/>
    <w:link w:val="667"/>
    <w:rPr>
      <w:rFonts w:ascii="XO Thames" w:hAnsi="XO Thames"/>
      <w:sz w:val="28"/>
    </w:rPr>
  </w:style>
  <w:style w:type="paragraph" w:styleId="669" w:customStyle="1">
    <w:name w:val="Знак примечания1"/>
    <w:basedOn w:val="633"/>
    <w:link w:val="670"/>
    <w:rPr>
      <w:sz w:val="16"/>
    </w:rPr>
  </w:style>
  <w:style w:type="character" w:styleId="670">
    <w:name w:val="annotation reference"/>
    <w:basedOn w:val="625"/>
    <w:link w:val="669"/>
    <w:rPr>
      <w:sz w:val="16"/>
    </w:rPr>
  </w:style>
  <w:style w:type="paragraph" w:styleId="671">
    <w:name w:val="toc 5"/>
    <w:next w:val="619"/>
    <w:link w:val="672"/>
    <w:uiPriority w:val="39"/>
    <w:pPr>
      <w:ind w:left="800"/>
    </w:pPr>
    <w:rPr>
      <w:rFonts w:ascii="XO Thames" w:hAnsi="XO Thames"/>
      <w:sz w:val="28"/>
    </w:rPr>
  </w:style>
  <w:style w:type="character" w:styleId="672" w:customStyle="1">
    <w:name w:val="Оглавление 5 Знак"/>
    <w:link w:val="671"/>
    <w:rPr>
      <w:rFonts w:ascii="XO Thames" w:hAnsi="XO Thames"/>
      <w:sz w:val="28"/>
    </w:rPr>
  </w:style>
  <w:style w:type="paragraph" w:styleId="673">
    <w:name w:val="Subtitle"/>
    <w:next w:val="619"/>
    <w:link w:val="674"/>
    <w:uiPriority w:val="11"/>
    <w:qFormat/>
    <w:pPr>
      <w:jc w:val="both"/>
    </w:pPr>
    <w:rPr>
      <w:rFonts w:ascii="XO Thames" w:hAnsi="XO Thames"/>
      <w:i/>
      <w:sz w:val="24"/>
    </w:rPr>
  </w:style>
  <w:style w:type="character" w:styleId="674" w:customStyle="1">
    <w:name w:val="Подзаголовок Знак"/>
    <w:link w:val="673"/>
    <w:rPr>
      <w:rFonts w:ascii="XO Thames" w:hAnsi="XO Thames"/>
      <w:i/>
      <w:sz w:val="24"/>
    </w:rPr>
  </w:style>
  <w:style w:type="paragraph" w:styleId="675">
    <w:name w:val="Title"/>
    <w:next w:val="619"/>
    <w:link w:val="676"/>
    <w:uiPriority w:val="10"/>
    <w:qFormat/>
    <w:pPr>
      <w:jc w:val="center"/>
      <w:spacing w:before="567" w:after="567"/>
    </w:pPr>
    <w:rPr>
      <w:rFonts w:ascii="XO Thames" w:hAnsi="XO Thames"/>
      <w:b/>
      <w:caps/>
      <w:sz w:val="40"/>
    </w:rPr>
  </w:style>
  <w:style w:type="character" w:styleId="676" w:customStyle="1">
    <w:name w:val="Название Знак"/>
    <w:link w:val="675"/>
    <w:rPr>
      <w:rFonts w:ascii="XO Thames" w:hAnsi="XO Thames"/>
      <w:b/>
      <w:caps/>
      <w:sz w:val="40"/>
    </w:rPr>
  </w:style>
  <w:style w:type="character" w:styleId="677" w:customStyle="1">
    <w:name w:val="Заголовок 4 Знак"/>
    <w:link w:val="623"/>
    <w:rPr>
      <w:rFonts w:ascii="XO Thames" w:hAnsi="XO Thames"/>
      <w:b/>
      <w:sz w:val="24"/>
    </w:rPr>
  </w:style>
  <w:style w:type="character" w:styleId="678" w:customStyle="1">
    <w:name w:val="Заголовок 2 Знак"/>
    <w:link w:val="621"/>
    <w:rPr>
      <w:rFonts w:ascii="XO Thames" w:hAnsi="XO Thames"/>
      <w:b/>
      <w:sz w:val="28"/>
    </w:rPr>
  </w:style>
  <w:style w:type="paragraph" w:styleId="679">
    <w:name w:val="Body Text"/>
    <w:basedOn w:val="619"/>
    <w:link w:val="680"/>
    <w:pPr>
      <w:spacing w:after="120"/>
    </w:pPr>
  </w:style>
  <w:style w:type="character" w:styleId="680" w:customStyle="1">
    <w:name w:val="Основной текст Знак"/>
    <w:basedOn w:val="628"/>
    <w:link w:val="679"/>
  </w:style>
  <w:style w:type="paragraph" w:styleId="681">
    <w:name w:val="List Paragraph"/>
    <w:basedOn w:val="619"/>
    <w:link w:val="682"/>
    <w:pPr>
      <w:contextualSpacing/>
      <w:ind w:left="720"/>
    </w:pPr>
  </w:style>
  <w:style w:type="character" w:styleId="682" w:customStyle="1">
    <w:name w:val="Абзац списка Знак"/>
    <w:basedOn w:val="628"/>
    <w:link w:val="681"/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Р7-Офис/2024.3.1.523</Application>
  <Company>JSC TATMEDIA</Company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37</cp:revision>
  <dcterms:created xsi:type="dcterms:W3CDTF">2024-08-07T04:55:00Z</dcterms:created>
  <dcterms:modified xsi:type="dcterms:W3CDTF">2026-06-26T07:05:38Z</dcterms:modified>
</cp:coreProperties>
</file>