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договора на поставку расходных материалов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</w:rPr>
        <w:tab/>
        <w:t xml:space="preserve">Начальная (максимальная) цена за единицу </w:t>
      </w:r>
      <w:r>
        <w:rPr>
          <w:rFonts w:ascii="Times New Roman" w:hAnsi="Times New Roman" w:cs="Times New Roman"/>
          <w:b/>
          <w:sz w:val="24"/>
          <w:szCs w:val="24"/>
        </w:rPr>
        <w:t xml:space="preserve">403 (четыреста три) рубля 00 копеек с НДС 22%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связи с тем, что в ходе исполнения д</w:t>
      </w:r>
      <w:r>
        <w:rPr>
          <w:rFonts w:ascii="Times New Roman" w:hAnsi="Times New Roman" w:cs="Times New Roman"/>
          <w:sz w:val="24"/>
          <w:szCs w:val="24"/>
        </w:rPr>
        <w:t xml:space="preserve">оговора невозможно определить объем каждого вида расходного материала, который может потребоваться покупателю в период действия договора, покупатель установил лимит финансирования договора в размере </w:t>
      </w:r>
      <w:r>
        <w:rPr>
          <w:rFonts w:ascii="Times New Roman" w:hAnsi="Times New Roman" w:cs="Times New Roman"/>
          <w:b/>
          <w:sz w:val="24"/>
          <w:szCs w:val="24"/>
        </w:rPr>
        <w:t xml:space="preserve">800 000 </w:t>
      </w:r>
      <w:r>
        <w:rPr>
          <w:rFonts w:ascii="Times New Roman" w:hAnsi="Times New Roman" w:cs="Times New Roman"/>
          <w:sz w:val="24"/>
          <w:szCs w:val="24"/>
        </w:rPr>
        <w:t xml:space="preserve">(восемьсот тысяч) рублей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00 </w:t>
      </w:r>
      <w:r>
        <w:rPr>
          <w:rFonts w:ascii="Times New Roman" w:hAnsi="Times New Roman" w:cs="Times New Roman"/>
          <w:sz w:val="24"/>
          <w:szCs w:val="24"/>
        </w:rPr>
        <w:t xml:space="preserve">копеек.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</w:t>
      </w:r>
      <w:r>
        <w:rPr>
          <w:rFonts w:ascii="Times New Roman" w:hAnsi="Times New Roman" w:cs="Times New Roman"/>
          <w:sz w:val="24"/>
          <w:szCs w:val="24"/>
        </w:rPr>
        <w:tab/>
        <w:t xml:space="preserve">Условие оп</w:t>
      </w:r>
      <w:r>
        <w:rPr>
          <w:rFonts w:ascii="Times New Roman" w:hAnsi="Times New Roman" w:cs="Times New Roman"/>
          <w:sz w:val="24"/>
          <w:szCs w:val="24"/>
        </w:rPr>
        <w:t xml:space="preserve">латы: в размере 100% стоимости поставленной партии товара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течении 7 (семи) календарных дней со дня передачи партии товара покупателю и подписания товарной накладной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ab/>
        <w:t xml:space="preserve">Срок действия договора: с момента его подписания сторонами и до 31 октября 2026 года, а</w:t>
      </w:r>
      <w:r>
        <w:rPr>
          <w:rFonts w:ascii="Times New Roman" w:hAnsi="Times New Roman" w:cs="Times New Roman"/>
          <w:sz w:val="24"/>
          <w:szCs w:val="24"/>
        </w:rPr>
        <w:t xml:space="preserve"> в части взаиморасчетов до полного исполнения сторонами обязательств по договору. 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</w:t>
      </w:r>
      <w:r>
        <w:rPr>
          <w:rFonts w:ascii="Times New Roman" w:hAnsi="Times New Roman" w:cs="Times New Roman"/>
          <w:sz w:val="24"/>
          <w:szCs w:val="24"/>
        </w:rPr>
        <w:tab/>
        <w:t xml:space="preserve">Срок поставки: </w:t>
      </w:r>
      <w:r>
        <w:rPr>
          <w:rFonts w:ascii="Times New Roman" w:hAnsi="Times New Roman" w:cs="Times New Roman"/>
          <w:sz w:val="24"/>
          <w:szCs w:val="24"/>
        </w:rPr>
        <w:t xml:space="preserve">партиями в течение 5 (пяти) календарных дней с момента получения заявки от Покупателя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Количество за</w:t>
      </w:r>
      <w:r>
        <w:rPr>
          <w:rFonts w:ascii="Times New Roman" w:hAnsi="Times New Roman" w:cs="Times New Roman"/>
          <w:sz w:val="24"/>
          <w:szCs w:val="24"/>
        </w:rPr>
        <w:t xml:space="preserve">явок: 2-6 заявок за весь период действия договора. Минимальный объем заявки 1 500 килограмм. 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  <w:t xml:space="preserve">Способ поставки товара: доставка товара до склада покупат</w:t>
      </w:r>
      <w:r>
        <w:rPr>
          <w:rFonts w:ascii="Times New Roman" w:hAnsi="Times New Roman" w:cs="Times New Roman"/>
          <w:sz w:val="24"/>
          <w:szCs w:val="24"/>
        </w:rPr>
        <w:t xml:space="preserve">еля производится силами и за счет поставщика. Адрес склада покупателя: 420066, РТ, г. Казань, ул. Декабристов зд.2.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 В связи с тем, что покупатель входит в перечень организаций, указанных абзаце втором подпункта "л" пункта 4 Постановления Правительства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</w:t>
      </w:r>
      <w:r>
        <w:rPr>
          <w:rFonts w:ascii="Times New Roman" w:hAnsi="Times New Roman" w:cs="Times New Roman"/>
          <w:sz w:val="24"/>
          <w:szCs w:val="24"/>
        </w:rPr>
        <w:t xml:space="preserve">их лиц" (далее- Постановление)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</w:p>
    <w:p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5042" w:type="pct"/>
        <w:jc w:val="center"/>
        <w:tblLayout w:type="fixed"/>
        <w:tblLook w:val="04A0" w:firstRow="1" w:lastRow="0" w:firstColumn="1" w:lastColumn="0" w:noHBand="0" w:noVBand="1"/>
      </w:tblPr>
      <w:tblGrid>
        <w:gridCol w:w="628"/>
        <w:gridCol w:w="2691"/>
        <w:gridCol w:w="5240"/>
        <w:gridCol w:w="2974"/>
        <w:gridCol w:w="883"/>
        <w:gridCol w:w="2266"/>
      </w:tblGrid>
      <w:tr>
        <w:trPr>
          <w:jc w:val="center"/>
          <w:trHeight w:val="1024"/>
        </w:trPr>
        <w:tc>
          <w:tcPr>
            <w:tcW w:w="628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№, п/п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</w:t>
            </w:r>
          </w:p>
        </w:tc>
        <w:tc>
          <w:tcPr>
            <w:tcW w:w="88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Ед. изм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Цена за ед., руб., в т.ч. НДС 22%</w:t>
            </w:r>
          </w:p>
        </w:tc>
      </w:tr>
      <w:tr>
        <w:trPr>
          <w:jc w:val="center"/>
        </w:trPr>
        <w:tc>
          <w:tcPr>
            <w:tcW w:w="62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Клей ПВА ДФ 51/15В</w:t>
            </w: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сухого остатка, %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</w:t>
            </w:r>
          </w:p>
        </w:tc>
        <w:tc>
          <w:tcPr>
            <w:tcW w:w="88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155,00</w:t>
            </w:r>
          </w:p>
        </w:tc>
      </w:tr>
      <w:tr>
        <w:trPr>
          <w:jc w:val="center"/>
          <w:trHeight w:val="567"/>
        </w:trPr>
        <w:tc>
          <w:tcPr>
            <w:tcW w:w="62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Условная вязкость по кружке ВМС, сек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125*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Клей ПВА ДФ 30/10С</w:t>
            </w: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сухого остатка, %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88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100,00</w:t>
            </w: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Условная вязкость по кружке ВМС, сек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35*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Дисперсия поливинилацетатная</w:t>
            </w: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сухого остатка, %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</w:p>
        </w:tc>
        <w:tc>
          <w:tcPr>
            <w:tcW w:w="88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остаточного мономера, %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0,48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Условная вязкость по кружке ВМС, сек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120*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Динамическая вязкость, Па*с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15,0*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концентрации водородных ионов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6,0*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Осаждение при разбавлении, %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62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Клеящая способность, Н/м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500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12425" w:type="dxa"/>
            <w:gridSpan w:val="5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начальная максимальная цена за ед., руб. с НДС 22%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403,00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В случае, если в позиции Технического задания запроса котировок в описании товара возле числового значения (диапазон) стоит *, то Участнику закупки необходимо указать диапазон значений, соответствующий предлагаемому к поставке/использованию товара.</w:t>
      </w:r>
    </w:p>
    <w:sectPr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5B821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282E42">
      <w:start w:val="1"/>
      <w:numFmt w:val="lowerLetter"/>
      <w:lvlText w:val="%2."/>
      <w:lvlJc w:val="left"/>
      <w:pPr>
        <w:ind w:left="1440" w:hanging="360"/>
      </w:pPr>
    </w:lvl>
    <w:lvl w:ilvl="2" w:tplc="1FBCB3C0">
      <w:start w:val="1"/>
      <w:numFmt w:val="lowerRoman"/>
      <w:lvlText w:val="%3."/>
      <w:lvlJc w:val="right"/>
      <w:pPr>
        <w:ind w:left="2160" w:hanging="180"/>
      </w:pPr>
    </w:lvl>
    <w:lvl w:ilvl="3" w:tplc="65F25972">
      <w:start w:val="1"/>
      <w:numFmt w:val="decimal"/>
      <w:lvlText w:val="%4."/>
      <w:lvlJc w:val="left"/>
      <w:pPr>
        <w:ind w:left="2880" w:hanging="360"/>
      </w:pPr>
    </w:lvl>
    <w:lvl w:ilvl="4" w:tplc="F0942188">
      <w:start w:val="1"/>
      <w:numFmt w:val="lowerLetter"/>
      <w:lvlText w:val="%5."/>
      <w:lvlJc w:val="left"/>
      <w:pPr>
        <w:ind w:left="3600" w:hanging="360"/>
      </w:pPr>
    </w:lvl>
    <w:lvl w:ilvl="5" w:tplc="A202B9BA">
      <w:start w:val="1"/>
      <w:numFmt w:val="lowerRoman"/>
      <w:lvlText w:val="%6."/>
      <w:lvlJc w:val="right"/>
      <w:pPr>
        <w:ind w:left="4320" w:hanging="180"/>
      </w:pPr>
    </w:lvl>
    <w:lvl w:ilvl="6" w:tplc="BDFABC3A">
      <w:start w:val="1"/>
      <w:numFmt w:val="decimal"/>
      <w:lvlText w:val="%7."/>
      <w:lvlJc w:val="left"/>
      <w:pPr>
        <w:ind w:left="5040" w:hanging="360"/>
      </w:pPr>
    </w:lvl>
    <w:lvl w:ilvl="7" w:tplc="ADA62E9E">
      <w:start w:val="1"/>
      <w:numFmt w:val="lowerLetter"/>
      <w:lvlText w:val="%8."/>
      <w:lvlJc w:val="left"/>
      <w:pPr>
        <w:ind w:left="5760" w:hanging="360"/>
      </w:pPr>
    </w:lvl>
    <w:lvl w:ilvl="8" w:tplc="D3FA988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styleId="a5" w:customStyle="1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9" w:customStyle="1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ad" w:customStyle="1">
    <w:name w:val="Нижний колонтитул Знак"/>
    <w:link w:val="ac"/>
    <w:uiPriority w:val="99"/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band1Horz">
      <w:tcPr>
        <w:shd w:val="clear" w:color="b3d0eb" w:themeColor="accent1" w:themeTint="75" w:fill="b3d0eb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band1Horz">
      <w:tcPr>
        <w:shd w:val="clear" w:color="ffe28a" w:themeColor="accent4" w:themeTint="75" w:fill="ffe28a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band1Horz">
      <w:tcPr>
        <w:shd w:val="clear" w:color="a9bee4" w:themeColor="accent5" w:themeTint="75" w:fill="a9be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ACCCEA" w:themeColor="accen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single" w:color="ACCCEA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tcBorders>
          <w:top w:val="none" w:color="auto" w:sz="0" w:space="0"/>
          <w:left w:val="single" w:color="ACCCEA" w:themeColor="accen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95AFDD" w:themeColor="accent5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tcBorders>
          <w:top w:val="single" w:color="95AFDD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tcBorders>
          <w:top w:val="none" w:color="auto" w:sz="0" w:space="0"/>
          <w:left w:val="single" w:color="95AFDD" w:themeColor="accent5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tcPr>
        <w:shd w:val="clear" w:color="ffefbf" w:themeColor="accent4" w:themeTint="40" w:fill="ffefbf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tcPr>
        <w:shd w:val="clear" w:color="cfdbf0" w:themeColor="accent5" w:themeTint="40" w:fill="cfdb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8DA9DB" w:themeColor="accent5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single" w:color="8DA9D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auto" w:sz="0" w:space="0"/>
          <w:left w:val="single" w:color="8DA9DB" w:themeColor="accent5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styleId="af0" w:customStyle="1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styleId="af3" w:customStyle="1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afb" w:customStyle="1">
    <w:name w:val="Текст примечания Знак"/>
    <w:basedOn w:val="a0"/>
    <w:link w:val="afa"/>
    <w:uiPriority w:val="99"/>
    <w:semiHidden/>
    <w:rPr>
      <w:rFonts w:eastAsiaTheme="minorEastAsia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styleId="afd" w:customStyle="1">
    <w:name w:val="Тема примечания Знак"/>
    <w:basedOn w:val="afb"/>
    <w:link w:val="afc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f" w:customStyle="1">
    <w:name w:val="Текст выноски Знак"/>
    <w:basedOn w:val="a0"/>
    <w:link w:val="afe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character" w:styleId="aff0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2525</Characters>
  <CharactersWithSpaces>2962</CharactersWithSpaces>
  <Company>JSC TATMEDIA</Company>
  <DocSecurity>0</DocSecurity>
  <HyperlinksChanged>false</HyperlinksChanged>
  <Lines>21</Lines>
  <LinksUpToDate>false</LinksUpToDate>
  <Pages>2</Pages>
  <Paragraphs>5</Paragraphs>
  <ScaleCrop>false</ScaleCrop>
  <SharedDoc>false</SharedDoc>
  <Template>Normal</Template>
  <TotalTime>8</TotalTime>
  <Words>442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Гирфанов</dc:creator>
  <cp:keywords/>
  <dc:description/>
  <cp:lastModifiedBy>Гирфанов</cp:lastModifiedBy>
  <cp:revision>34</cp:revision>
  <dcterms:created xsi:type="dcterms:W3CDTF">2023-11-28T10:58:00Z</dcterms:created>
  <dcterms:modified xsi:type="dcterms:W3CDTF">2026-06-26T11:43:00Z</dcterms:modified>
</cp:coreProperties>
</file>