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ind w:firstLine="709"/>
        <w:jc w:val="center"/>
        <w:spacing w:after="0" w:line="240" w:lineRule="auto"/>
        <w:rPr>
          <w:rFonts w:ascii="Times New Roman" w:hAnsi="Times New Roman"/>
          <w:b/>
          <w:bCs/>
          <w:caps/>
        </w:rPr>
      </w:pPr>
      <w:r/>
      <w:bookmarkStart w:id="0" w:name="_Toc127523724"/>
      <w:r/>
      <w:bookmarkStart w:id="1" w:name="_Toc119343901"/>
      <w:r/>
      <w:bookmarkEnd w:id="0"/>
      <w:r/>
      <w:bookmarkEnd w:id="1"/>
      <w:r>
        <w:rPr>
          <w:rFonts w:ascii="Times New Roman" w:hAnsi="Times New Roman"/>
          <w:b/>
          <w:bCs/>
        </w:rPr>
        <w:t xml:space="preserve">ИЗВЕЩЕНИЕ </w:t>
      </w:r>
      <w:r>
        <w:rPr>
          <w:rFonts w:ascii="Times New Roman" w:hAnsi="Times New Roman"/>
          <w:b/>
          <w:bCs/>
          <w:caps/>
        </w:rPr>
        <w:t xml:space="preserve">о запросе котировок В ЭЛЕКТРОННОЙ ФОРМЕ </w:t>
      </w:r>
      <w:r>
        <w:rPr>
          <w:rFonts w:ascii="Times New Roman" w:hAnsi="Times New Roman"/>
          <w:b/>
          <w:bCs/>
          <w:caps/>
        </w:rPr>
      </w:r>
      <w:r>
        <w:rPr>
          <w:rFonts w:ascii="Times New Roman" w:hAnsi="Times New Roman"/>
          <w:b/>
          <w:bCs/>
          <w:caps/>
        </w:rPr>
      </w:r>
    </w:p>
    <w:p>
      <w:pPr>
        <w:contextualSpacing/>
        <w:ind w:firstLine="709"/>
        <w:jc w:val="center"/>
        <w:spacing w:after="0" w:line="240" w:lineRule="auto"/>
        <w:rPr>
          <w:rFonts w:ascii="Times New Roman" w:hAnsi="Times New Roman"/>
          <w:b/>
          <w:bCs/>
          <w:caps/>
        </w:rPr>
      </w:pPr>
      <w:r>
        <w:rPr>
          <w:rFonts w:ascii="Times New Roman" w:hAnsi="Times New Roman"/>
          <w:b/>
          <w:bCs/>
          <w:caps/>
        </w:rPr>
        <w:t xml:space="preserve"> (далее – запрос котировок) </w:t>
      </w:r>
      <w:r>
        <w:rPr>
          <w:rFonts w:ascii="Times New Roman" w:hAnsi="Times New Roman"/>
          <w:b/>
          <w:bCs/>
          <w:caps/>
        </w:rPr>
      </w:r>
      <w:r>
        <w:rPr>
          <w:rFonts w:ascii="Times New Roman" w:hAnsi="Times New Roman"/>
          <w:b/>
          <w:bCs/>
          <w:caps/>
        </w:rPr>
      </w:r>
    </w:p>
    <w:p>
      <w:pPr>
        <w:contextualSpacing/>
        <w:ind w:firstLine="709"/>
        <w:jc w:val="center"/>
        <w:spacing w:after="0" w:line="240" w:lineRule="auto"/>
        <w:rPr>
          <w:rFonts w:ascii="Times New Roman" w:hAnsi="Times New Roman"/>
          <w:b/>
          <w:bCs/>
          <w:caps/>
        </w:rPr>
      </w:pPr>
      <w:r>
        <w:rPr>
          <w:rFonts w:ascii="Times New Roman" w:hAnsi="Times New Roman"/>
          <w:b/>
          <w:bCs/>
          <w:caps/>
        </w:rPr>
      </w:r>
      <w:r>
        <w:rPr>
          <w:rFonts w:ascii="Times New Roman" w:hAnsi="Times New Roman"/>
          <w:b/>
          <w:bCs/>
          <w:caps/>
        </w:rPr>
      </w:r>
      <w:r>
        <w:rPr>
          <w:rFonts w:ascii="Times New Roman" w:hAnsi="Times New Roman"/>
          <w:b/>
          <w:bCs/>
          <w:caps/>
        </w:rPr>
      </w:r>
    </w:p>
    <w:p>
      <w:pPr>
        <w:contextualSpacing/>
        <w:ind w:firstLine="709"/>
        <w:jc w:val="center"/>
        <w:spacing w:after="0" w:line="240" w:lineRule="auto"/>
        <w:rPr>
          <w:rFonts w:ascii="Times New Roman" w:hAnsi="Times New Roman"/>
          <w:b/>
          <w:bCs/>
          <w:caps/>
        </w:rPr>
      </w:pPr>
      <w:r>
        <w:rPr>
          <w:rFonts w:ascii="Times New Roman" w:hAnsi="Times New Roman"/>
          <w:b/>
          <w:bCs/>
          <w:caps/>
        </w:rPr>
        <w:t xml:space="preserve">Раздел 1</w:t>
      </w:r>
      <w:r>
        <w:rPr>
          <w:rFonts w:ascii="Times New Roman" w:hAnsi="Times New Roman"/>
          <w:b/>
          <w:bCs/>
          <w:caps/>
        </w:rPr>
      </w:r>
      <w:r>
        <w:rPr>
          <w:rFonts w:ascii="Times New Roman" w:hAnsi="Times New Roman"/>
          <w:b/>
          <w:bCs/>
          <w:caps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Настоящее извещение о запросе котировок подготовлено в соответствии с Конституцией Российской Федерации, Гражданским ко</w:t>
      </w:r>
      <w:r>
        <w:rPr>
          <w:rFonts w:ascii="Times New Roman" w:hAnsi="Times New Roman"/>
          <w:lang w:eastAsia="ru-RU"/>
        </w:rPr>
        <w:t xml:space="preserve">дексом Российской Федерации, Федеральным законом от 18.07.2011 № 223-ФЗ «О закупках товаров, работ, услуг отдельными видами юридических лиц», Федеральным законом от 26.07.2006 № 135-ФЗ «О защите конкуренции», другими федеральными законами и иными нормативн</w:t>
      </w:r>
      <w:r>
        <w:rPr>
          <w:rFonts w:ascii="Times New Roman" w:hAnsi="Times New Roman"/>
          <w:lang w:eastAsia="ru-RU"/>
        </w:rPr>
        <w:t xml:space="preserve">ыми правовыми актами Российской Федерации, регулирующими отношения, связанные с осуществлением закупочной деятельности, а также Положением о закупке товаров, работ, услуг для нужд АО «ТАТМЕДИА» (далее – Положение) и иными внутренними документами Заказчика.</w:t>
      </w: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</w:p>
    <w:p>
      <w:pPr>
        <w:pStyle w:val="1106"/>
        <w:ind w:left="0" w:firstLine="709"/>
        <w:spacing w:after="0" w:line="240" w:lineRule="auto"/>
        <w:tabs>
          <w:tab w:val="left" w:pos="284" w:leader="none"/>
        </w:tabs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  <w:t xml:space="preserve">1. Способ закупки: </w:t>
      </w:r>
      <w:r>
        <w:rPr>
          <w:rFonts w:ascii="Times New Roman" w:hAnsi="Times New Roman"/>
          <w:sz w:val="22"/>
          <w:szCs w:val="22"/>
          <w:lang w:val="ru-RU"/>
        </w:rPr>
        <w:t xml:space="preserve">запрос котировок.</w:t>
      </w:r>
      <w:r>
        <w:rPr>
          <w:rFonts w:ascii="Times New Roman" w:hAnsi="Times New Roman"/>
          <w:sz w:val="22"/>
          <w:szCs w:val="22"/>
          <w:lang w:val="ru-RU"/>
        </w:rPr>
      </w:r>
      <w:r>
        <w:rPr>
          <w:rFonts w:ascii="Times New Roman" w:hAnsi="Times New Roman"/>
          <w:sz w:val="22"/>
          <w:szCs w:val="22"/>
          <w:lang w:val="ru-RU"/>
        </w:rPr>
      </w:r>
    </w:p>
    <w:p>
      <w:pPr>
        <w:pStyle w:val="1106"/>
        <w:ind w:left="0" w:firstLine="709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</w:r>
      <w:r>
        <w:rPr>
          <w:rFonts w:ascii="Times New Roman" w:hAnsi="Times New Roman"/>
          <w:b/>
          <w:sz w:val="22"/>
          <w:szCs w:val="22"/>
          <w:lang w:val="ru-RU"/>
        </w:rPr>
      </w: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pStyle w:val="1106"/>
        <w:ind w:left="0" w:firstLine="709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  <w:t xml:space="preserve">2. Наименование, место нахождения, почтовый адрес, адрес электронной почты, номер контактного телефона заказчика, сведения об уполномоченном органе: </w:t>
      </w:r>
      <w:r>
        <w:rPr>
          <w:rFonts w:ascii="Times New Roman" w:hAnsi="Times New Roman"/>
          <w:b/>
          <w:sz w:val="22"/>
          <w:szCs w:val="22"/>
          <w:lang w:val="ru-RU"/>
        </w:rPr>
      </w: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b/>
          <w:i/>
          <w:u w:val="single"/>
        </w:rPr>
      </w:pPr>
      <w:r>
        <w:rPr>
          <w:rFonts w:ascii="Times New Roman" w:hAnsi="Times New Roman" w:eastAsia="Calibri"/>
          <w:b/>
          <w:bCs/>
          <w:i/>
          <w:u w:val="single"/>
        </w:rPr>
        <w:t xml:space="preserve">Сведения о заказчике:</w:t>
      </w:r>
      <w:r>
        <w:rPr>
          <w:rFonts w:ascii="Times New Roman" w:hAnsi="Times New Roman" w:eastAsia="Calibri"/>
          <w:b/>
          <w:i/>
          <w:u w:val="single"/>
        </w:rPr>
        <w:t xml:space="preserve"> </w:t>
      </w:r>
      <w:r>
        <w:rPr>
          <w:rFonts w:ascii="Times New Roman" w:hAnsi="Times New Roman" w:eastAsia="Calibri"/>
          <w:b/>
          <w:i/>
          <w:u w:val="single"/>
        </w:rPr>
      </w:r>
      <w:r>
        <w:rPr>
          <w:rFonts w:ascii="Times New Roman" w:hAnsi="Times New Roman" w:eastAsia="Calibri"/>
          <w:b/>
          <w:i/>
          <w:u w:val="singl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Наименование: АО «ТАТМЕДИА».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Место нахождения, почтовый адрес: Республика Татарстан, г. Казань, ул. Академическая, д. 2.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u w:val="single"/>
        </w:rPr>
      </w:pPr>
      <w:r>
        <w:rPr>
          <w:rFonts w:ascii="Times New Roman" w:hAnsi="Times New Roman" w:eastAsia="Calibri"/>
        </w:rPr>
        <w:t xml:space="preserve">Адрес электронной почты: </w:t>
      </w:r>
      <w:hyperlink r:id="rId13" w:tooltip="mailto:lawyer@tatmedia.com" w:history="1">
        <w:r>
          <w:rPr>
            <w:rFonts w:ascii="Times New Roman" w:hAnsi="Times New Roman"/>
            <w:u w:val="single"/>
          </w:rPr>
          <w:t xml:space="preserve">lawyer@tatmedia.com</w:t>
        </w:r>
      </w:hyperlink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</w:r>
      <w:r>
        <w:rPr>
          <w:rFonts w:ascii="Times New Roman" w:hAnsi="Times New Roman"/>
          <w:u w:val="singl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Номер контактного телефона заказчика: +7 (843) 222-09-84 (</w:t>
      </w:r>
      <w:r>
        <w:rPr>
          <w:rFonts w:ascii="Times New Roman" w:hAnsi="Times New Roman" w:eastAsia="Calibri"/>
        </w:rPr>
        <w:t xml:space="preserve">вн</w:t>
      </w:r>
      <w:r>
        <w:rPr>
          <w:rFonts w:ascii="Times New Roman" w:hAnsi="Times New Roman" w:eastAsia="Calibri"/>
        </w:rPr>
        <w:t xml:space="preserve">. 1250)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b/>
          <w:i/>
          <w:u w:val="single"/>
        </w:rPr>
      </w:pPr>
      <w:r>
        <w:rPr>
          <w:rFonts w:ascii="Times New Roman" w:hAnsi="Times New Roman" w:eastAsia="Calibri"/>
          <w:b/>
          <w:i/>
          <w:u w:val="single"/>
        </w:rPr>
        <w:t xml:space="preserve">Сведения об уполномоченном органе:</w:t>
      </w:r>
      <w:r>
        <w:rPr>
          <w:rFonts w:ascii="Times New Roman" w:hAnsi="Times New Roman" w:eastAsia="Calibri"/>
          <w:b/>
          <w:i/>
          <w:u w:val="single"/>
        </w:rPr>
      </w:r>
      <w:r>
        <w:rPr>
          <w:rFonts w:ascii="Times New Roman" w:hAnsi="Times New Roman" w:eastAsia="Calibri"/>
          <w:b/>
          <w:i/>
          <w:u w:val="singl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Наименование: Государственный комитет Республики Татарстан по закупкам.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widowControl w:val="off"/>
        <w:rPr>
          <w:rFonts w:ascii="Times New Roman" w:hAnsi="Times New Roman" w:eastAsia="DejaVu Sans"/>
        </w:rPr>
      </w:pPr>
      <w:r>
        <w:rPr>
          <w:rFonts w:ascii="Times New Roman" w:hAnsi="Times New Roman" w:eastAsia="Calibri"/>
        </w:rPr>
        <w:t xml:space="preserve">Место нахождения: </w:t>
      </w:r>
      <w:r>
        <w:rPr>
          <w:rFonts w:ascii="Times New Roman" w:hAnsi="Times New Roman" w:eastAsia="DejaVu Sans"/>
        </w:rPr>
        <w:t xml:space="preserve">420107,</w:t>
      </w:r>
      <w:r>
        <w:rPr>
          <w:rFonts w:ascii="Times New Roman" w:hAnsi="Times New Roman" w:eastAsia="Calibri"/>
        </w:rPr>
        <w:t xml:space="preserve"> Республика Татарстан, г. </w:t>
      </w:r>
      <w:r>
        <w:rPr>
          <w:rFonts w:ascii="Times New Roman" w:hAnsi="Times New Roman" w:eastAsia="DejaVu Sans"/>
        </w:rPr>
        <w:t xml:space="preserve">Казань, ул. Петербургская, д. 86</w:t>
      </w:r>
      <w:r>
        <w:rPr>
          <w:rFonts w:ascii="Times New Roman" w:hAnsi="Times New Roman" w:eastAsia="Calibri"/>
        </w:rPr>
        <w:t xml:space="preserve">.</w:t>
      </w:r>
      <w:r>
        <w:rPr>
          <w:rFonts w:ascii="Times New Roman" w:hAnsi="Times New Roman" w:eastAsia="DejaVu Sans"/>
        </w:rPr>
      </w:r>
      <w:r>
        <w:rPr>
          <w:rFonts w:ascii="Times New Roman" w:hAnsi="Times New Roman" w:eastAsia="DejaVu Sans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Номер контактного телефона: +7 (843) 562-04-84 (доб.</w:t>
      </w:r>
      <w:r>
        <w:rPr>
          <w:rFonts w:ascii="Times New Roman" w:hAnsi="Times New Roman" w:eastAsia="Calibri"/>
          <w:highlight w:val="white"/>
        </w:rPr>
        <w:t xml:space="preserve"> </w:t>
      </w:r>
      <w:r>
        <w:rPr>
          <w:rFonts w:ascii="Times New Roman" w:hAnsi="Times New Roman" w:eastAsia="Calibri"/>
          <w:highlight w:val="white"/>
        </w:rPr>
        <w:t xml:space="preserve">133</w:t>
      </w:r>
      <w:r>
        <w:rPr>
          <w:rFonts w:ascii="Times New Roman" w:hAnsi="Times New Roman" w:eastAsia="Calibri"/>
          <w:highlight w:val="white"/>
        </w:rPr>
        <w:t xml:space="preserve">) Гаязо</w:t>
      </w:r>
      <w:r>
        <w:rPr>
          <w:rFonts w:ascii="Times New Roman" w:hAnsi="Times New Roman" w:eastAsia="Calibri"/>
        </w:rPr>
        <w:t xml:space="preserve">ва Элина Рамилевна.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pStyle w:val="1106"/>
        <w:ind w:left="0" w:firstLine="709"/>
        <w:spacing w:after="0" w:line="240" w:lineRule="auto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  <w:t xml:space="preserve">3. Предмет договора с указанием количества поставляемого товара, а также краткое описание предмета закупки: </w:t>
      </w:r>
      <w:r>
        <w:rPr>
          <w:rFonts w:ascii="Times New Roman" w:hAnsi="Times New Roman"/>
          <w:sz w:val="22"/>
          <w:szCs w:val="22"/>
          <w:lang w:val="ru-RU"/>
        </w:rPr>
        <w:t xml:space="preserve">Право заключения договора на поставку </w:t>
      </w:r>
      <w:r>
        <w:rPr>
          <w:rFonts w:ascii="Times New Roman" w:hAnsi="Times New Roman"/>
          <w:lang w:val="ru-RU"/>
        </w:rPr>
        <w:t xml:space="preserve">расходных материалов</w:t>
      </w:r>
      <w:r>
        <w:rPr>
          <w:rFonts w:ascii="Times New Roman" w:hAnsi="Times New Roman"/>
          <w:b/>
          <w:sz w:val="22"/>
          <w:szCs w:val="22"/>
          <w:lang w:val="ru-RU"/>
        </w:rPr>
        <w:t xml:space="preserve"> </w:t>
      </w:r>
      <w:r>
        <w:rPr>
          <w:rFonts w:ascii="Times New Roman" w:hAnsi="Times New Roman"/>
          <w:sz w:val="22"/>
          <w:szCs w:val="22"/>
          <w:lang w:val="ru-RU"/>
        </w:rPr>
        <w:t xml:space="preserve">(Количество и описание предмета закупки указаны в Техническом задании).</w:t>
      </w:r>
      <w:r>
        <w:rPr>
          <w:rFonts w:ascii="Times New Roman" w:hAnsi="Times New Roman"/>
          <w:b/>
          <w:sz w:val="22"/>
          <w:szCs w:val="22"/>
          <w:lang w:val="ru-RU"/>
        </w:rPr>
      </w: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pStyle w:val="1106"/>
        <w:ind w:left="0" w:firstLine="709"/>
        <w:spacing w:after="0" w:line="240" w:lineRule="auto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</w:r>
      <w:r>
        <w:rPr>
          <w:rFonts w:ascii="Times New Roman" w:hAnsi="Times New Roman"/>
          <w:b/>
          <w:sz w:val="22"/>
          <w:szCs w:val="22"/>
          <w:lang w:val="ru-RU"/>
        </w:rPr>
      </w: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pStyle w:val="1106"/>
        <w:ind w:left="0" w:firstLine="709"/>
        <w:spacing w:after="0" w:line="240" w:lineRule="auto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  <w:t xml:space="preserve">4. Сведения о начальной (максимальной) цене договора (цена лота)</w:t>
      </w:r>
      <w:r>
        <w:rPr>
          <w:rFonts w:ascii="Times New Roman" w:hAnsi="Times New Roman"/>
          <w:b/>
          <w:sz w:val="22"/>
          <w:szCs w:val="22"/>
          <w:lang w:val="ru-RU"/>
        </w:rPr>
        <w:t xml:space="preserve">, либо формула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 и максимальное значение цены договора: </w:t>
      </w:r>
      <w:r>
        <w:rPr>
          <w:rFonts w:ascii="Times New Roman" w:hAnsi="Times New Roman"/>
          <w:b/>
          <w:sz w:val="22"/>
          <w:szCs w:val="22"/>
          <w:lang w:val="ru-RU"/>
        </w:rPr>
      </w: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pStyle w:val="1106"/>
        <w:ind w:left="0" w:firstLine="709"/>
        <w:spacing w:after="0" w:line="240" w:lineRule="auto"/>
        <w:rPr>
          <w:rFonts w:ascii="Times New Roman" w:hAnsi="Times New Roman"/>
          <w:sz w:val="22"/>
          <w:szCs w:val="22"/>
          <w:lang w:val="ru-RU"/>
          <w14:ligatures w14:val="none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Начальная (максимальная) цена за единицу: 403,00;</w:t>
      </w:r>
      <w:r>
        <w:rPr>
          <w:rFonts w:ascii="Times New Roman" w:hAnsi="Times New Roman"/>
          <w:sz w:val="22"/>
          <w:szCs w:val="22"/>
          <w:lang w:val="ru-RU"/>
          <w14:ligatures w14:val="none"/>
        </w:rPr>
      </w:r>
      <w:r>
        <w:rPr>
          <w:rFonts w:ascii="Times New Roman" w:hAnsi="Times New Roman"/>
          <w:sz w:val="22"/>
          <w:szCs w:val="22"/>
          <w:lang w:val="ru-RU"/>
          <w14:ligatures w14:val="none"/>
        </w:rPr>
      </w:r>
    </w:p>
    <w:p>
      <w:pPr>
        <w:pStyle w:val="1106"/>
        <w:ind w:left="0" w:firstLine="709"/>
        <w:spacing w:after="0" w:line="240" w:lineRule="auto"/>
        <w:rPr>
          <w:rFonts w:ascii="Times New Roman" w:hAnsi="Times New Roman"/>
          <w:sz w:val="22"/>
          <w:szCs w:val="22"/>
          <w:lang w:val="ru-RU"/>
          <w14:ligatures w14:val="none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Общая цена договора: 800 000,00.</w:t>
      </w:r>
      <w:r>
        <w:rPr>
          <w:rFonts w:ascii="Times New Roman" w:hAnsi="Times New Roman"/>
          <w:sz w:val="22"/>
          <w:szCs w:val="22"/>
          <w:lang w:val="ru-RU"/>
          <w14:ligatures w14:val="none"/>
        </w:rPr>
      </w:r>
      <w:r>
        <w:rPr>
          <w:rFonts w:ascii="Times New Roman" w:hAnsi="Times New Roman"/>
          <w:sz w:val="22"/>
          <w:szCs w:val="22"/>
          <w:lang w:val="ru-RU"/>
          <w14:ligatures w14:val="none"/>
        </w:rPr>
      </w:r>
    </w:p>
    <w:p>
      <w:pPr>
        <w:pStyle w:val="1106"/>
        <w:ind w:left="0" w:firstLine="709"/>
        <w:spacing w:after="0" w:line="240" w:lineRule="auto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</w:r>
      <w:r>
        <w:rPr>
          <w:rFonts w:ascii="Times New Roman" w:hAnsi="Times New Roman"/>
          <w:b/>
          <w:sz w:val="22"/>
          <w:szCs w:val="22"/>
          <w:lang w:val="ru-RU"/>
        </w:rPr>
      </w: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pStyle w:val="1106"/>
        <w:ind w:left="0" w:firstLine="709"/>
        <w:spacing w:after="0" w:line="240" w:lineRule="auto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  <w:t xml:space="preserve">5. Сведения о валюте, используемой для формирования цены договора и расчетов с поставщиками (исполнителями, подрядчиками).</w:t>
      </w:r>
      <w:r>
        <w:rPr>
          <w:rFonts w:ascii="Times New Roman" w:hAnsi="Times New Roman"/>
          <w:b/>
          <w:sz w:val="22"/>
          <w:szCs w:val="22"/>
          <w:lang w:val="ru-RU"/>
        </w:rPr>
      </w: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pStyle w:val="1106"/>
        <w:ind w:left="0" w:firstLine="709"/>
        <w:spacing w:after="0" w:line="240" w:lineRule="auto"/>
        <w:rPr>
          <w:rFonts w:ascii="Times New Roman" w:hAnsi="Times New Roman"/>
          <w:sz w:val="22"/>
          <w:szCs w:val="22"/>
          <w:lang w:val="ru-RU"/>
          <w14:ligatures w14:val="none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Российский рубль</w:t>
      </w:r>
      <w:r>
        <w:rPr>
          <w:rFonts w:ascii="Times New Roman" w:hAnsi="Times New Roman"/>
          <w:sz w:val="22"/>
          <w:szCs w:val="22"/>
          <w:lang w:val="ru-RU"/>
        </w:rPr>
        <w:t xml:space="preserve">.</w:t>
      </w:r>
      <w:r>
        <w:rPr>
          <w:rFonts w:ascii="Times New Roman" w:hAnsi="Times New Roman"/>
          <w:sz w:val="22"/>
          <w:szCs w:val="22"/>
          <w:lang w:val="ru-RU"/>
          <w14:ligatures w14:val="none"/>
        </w:rPr>
      </w:r>
      <w:r>
        <w:rPr>
          <w:rFonts w:ascii="Times New Roman" w:hAnsi="Times New Roman"/>
          <w:sz w:val="22"/>
          <w:szCs w:val="22"/>
          <w:lang w:val="ru-RU"/>
          <w14:ligatures w14:val="none"/>
        </w:rPr>
      </w:r>
    </w:p>
    <w:p>
      <w:pPr>
        <w:pStyle w:val="1106"/>
        <w:ind w:left="0" w:firstLine="709"/>
        <w:spacing w:after="0" w:line="240" w:lineRule="auto"/>
        <w:rPr>
          <w:rFonts w:ascii="Times New Roman" w:hAnsi="Times New Roman" w:eastAsiaTheme="minorHAnsi"/>
          <w:sz w:val="22"/>
          <w:szCs w:val="22"/>
          <w:lang w:val="ru-RU"/>
        </w:rPr>
      </w:pPr>
      <w:r>
        <w:rPr>
          <w:rFonts w:ascii="Times New Roman" w:hAnsi="Times New Roman" w:eastAsiaTheme="minorHAnsi"/>
          <w:sz w:val="22"/>
          <w:szCs w:val="22"/>
          <w:lang w:val="ru-RU"/>
        </w:rPr>
      </w:r>
      <w:r>
        <w:rPr>
          <w:rFonts w:ascii="Times New Roman" w:hAnsi="Times New Roman" w:eastAsiaTheme="minorHAnsi"/>
          <w:sz w:val="22"/>
          <w:szCs w:val="22"/>
          <w:lang w:val="ru-RU"/>
        </w:rPr>
      </w:r>
      <w:r>
        <w:rPr>
          <w:rFonts w:ascii="Times New Roman" w:hAnsi="Times New Roman" w:eastAsiaTheme="minorHAnsi"/>
          <w:sz w:val="22"/>
          <w:szCs w:val="22"/>
          <w:lang w:val="ru-RU"/>
        </w:rPr>
      </w:r>
    </w:p>
    <w:p>
      <w:pPr>
        <w:pStyle w:val="1106"/>
        <w:ind w:left="0" w:firstLine="709"/>
        <w:spacing w:after="0" w:line="240" w:lineRule="auto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  <w:t xml:space="preserve">6. Порядок применения официального курса иностранной валюты к рублю Российской Федерации, установленного Центральным банком Российской Федерации и используемого при оплате заключенного договора.</w:t>
      </w:r>
      <w:r>
        <w:rPr>
          <w:rFonts w:ascii="Times New Roman" w:hAnsi="Times New Roman"/>
          <w:b/>
          <w:sz w:val="22"/>
          <w:szCs w:val="22"/>
          <w:lang w:val="ru-RU"/>
        </w:rPr>
      </w: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pStyle w:val="1106"/>
        <w:ind w:left="0" w:firstLine="709"/>
        <w:spacing w:after="0" w:line="240" w:lineRule="auto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Не применяется</w:t>
      </w:r>
      <w:r>
        <w:rPr>
          <w:rFonts w:ascii="Times New Roman" w:hAnsi="Times New Roman"/>
          <w:sz w:val="22"/>
          <w:szCs w:val="22"/>
          <w:lang w:val="ru-RU"/>
        </w:rPr>
        <w:t xml:space="preserve">.</w:t>
      </w:r>
      <w:r>
        <w:rPr>
          <w:rFonts w:ascii="Times New Roman" w:hAnsi="Times New Roman"/>
          <w:sz w:val="22"/>
          <w:szCs w:val="22"/>
          <w:lang w:val="ru-RU"/>
        </w:rPr>
      </w:r>
      <w:r>
        <w:rPr>
          <w:rFonts w:ascii="Times New Roman" w:hAnsi="Times New Roman"/>
          <w:sz w:val="22"/>
          <w:szCs w:val="22"/>
          <w:lang w:val="ru-RU"/>
        </w:rPr>
      </w:r>
    </w:p>
    <w:p>
      <w:pPr>
        <w:pStyle w:val="1106"/>
        <w:ind w:left="0" w:firstLine="709"/>
        <w:spacing w:after="0" w:line="240" w:lineRule="auto"/>
        <w:rPr>
          <w:rFonts w:ascii="Times New Roman" w:hAnsi="Times New Roman" w:eastAsiaTheme="minorHAnsi"/>
          <w:sz w:val="22"/>
          <w:szCs w:val="22"/>
          <w:lang w:val="ru-RU"/>
        </w:rPr>
      </w:pPr>
      <w:r>
        <w:rPr>
          <w:rFonts w:ascii="Times New Roman" w:hAnsi="Times New Roman" w:eastAsiaTheme="minorHAnsi"/>
          <w:sz w:val="22"/>
          <w:szCs w:val="22"/>
          <w:lang w:val="ru-RU"/>
        </w:rPr>
      </w:r>
      <w:r>
        <w:rPr>
          <w:rFonts w:ascii="Times New Roman" w:hAnsi="Times New Roman" w:eastAsiaTheme="minorHAnsi"/>
          <w:sz w:val="22"/>
          <w:szCs w:val="22"/>
          <w:lang w:val="ru-RU"/>
        </w:rPr>
      </w:r>
      <w:r>
        <w:rPr>
          <w:rFonts w:ascii="Times New Roman" w:hAnsi="Times New Roman" w:eastAsiaTheme="minorHAnsi"/>
          <w:sz w:val="22"/>
          <w:szCs w:val="22"/>
          <w:lang w:val="ru-RU"/>
        </w:rPr>
      </w:r>
    </w:p>
    <w:p>
      <w:pPr>
        <w:pStyle w:val="1106"/>
        <w:ind w:left="0" w:firstLine="709"/>
        <w:spacing w:after="0" w:line="240" w:lineRule="auto"/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</w:pPr>
      <w:r>
        <w:rPr>
          <w:rFonts w:ascii="Times New Roman" w:hAnsi="Times New Roman"/>
          <w:b/>
          <w:bCs/>
          <w:sz w:val="22"/>
          <w:szCs w:val="22"/>
          <w:lang w:val="ru-RU"/>
        </w:rPr>
        <w:t xml:space="preserve">7. Место, условия и срок поставки товара.</w:t>
      </w:r>
      <w:r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</w:r>
      <w:r>
        <w:rPr>
          <w:rFonts w:ascii="Times New Roman" w:hAnsi="Times New Roman"/>
          <w:b/>
          <w:bCs/>
          <w:sz w:val="22"/>
          <w:szCs w:val="22"/>
          <w:lang w:val="ru-RU"/>
          <w14:ligatures w14:val="none"/>
        </w:rPr>
      </w:r>
    </w:p>
    <w:p>
      <w:pPr>
        <w:pStyle w:val="1106"/>
        <w:ind w:left="0" w:firstLine="709"/>
        <w:spacing w:after="0" w:line="240" w:lineRule="auto"/>
        <w:rPr>
          <w:rFonts w:ascii="Times New Roman" w:hAnsi="Times New Roman"/>
          <w:sz w:val="22"/>
          <w:szCs w:val="22"/>
          <w:lang w:val="ru-RU"/>
          <w14:ligatures w14:val="none"/>
        </w:rPr>
      </w:pPr>
      <w:r>
        <w:rPr>
          <w:rFonts w:ascii="Times New Roman" w:hAnsi="Times New Roman"/>
          <w:sz w:val="22"/>
          <w:szCs w:val="22"/>
          <w:lang w:val="ru-RU" w:eastAsia="ru-RU"/>
        </w:rPr>
        <w:t xml:space="preserve">Место поставки </w:t>
      </w:r>
      <w:r>
        <w:rPr>
          <w:rFonts w:ascii="Times New Roman" w:hAnsi="Times New Roman"/>
          <w:sz w:val="22"/>
          <w:szCs w:val="22"/>
          <w:lang w:val="ru-RU" w:eastAsia="ru-RU"/>
        </w:rPr>
        <w:t xml:space="preserve">товар</w:t>
      </w:r>
      <w:r>
        <w:rPr>
          <w:rFonts w:ascii="Times New Roman" w:hAnsi="Times New Roman"/>
          <w:sz w:val="22"/>
          <w:szCs w:val="22"/>
          <w:lang w:val="ru-RU" w:eastAsia="ru-RU"/>
        </w:rPr>
        <w:t xml:space="preserve">а: </w:t>
      </w:r>
      <w:r>
        <w:rPr>
          <w:rFonts w:ascii="Times New Roman" w:hAnsi="Times New Roman"/>
          <w:sz w:val="22"/>
          <w:szCs w:val="22"/>
          <w:lang w:val="ru-RU" w:eastAsia="ru-RU"/>
        </w:rPr>
        <w:t xml:space="preserve">420066</w:t>
      </w:r>
      <w:r>
        <w:rPr>
          <w:rFonts w:ascii="Times New Roman" w:hAnsi="Times New Roman"/>
          <w:sz w:val="22"/>
          <w:szCs w:val="22"/>
          <w:lang w:val="ru-RU" w:eastAsia="ru-RU"/>
        </w:rPr>
        <w:t xml:space="preserve">, РТ, г. Казань, ул. Декабристов зд.2</w:t>
      </w:r>
      <w:r>
        <w:rPr>
          <w:rFonts w:ascii="Times New Roman" w:hAnsi="Times New Roman"/>
          <w:sz w:val="22"/>
          <w:szCs w:val="22"/>
          <w:lang w:val="ru-RU" w:eastAsia="ru-RU"/>
        </w:rPr>
        <w:t xml:space="preserve">.</w:t>
      </w:r>
      <w:r>
        <w:rPr>
          <w:rFonts w:ascii="Times New Roman" w:hAnsi="Times New Roman"/>
          <w:sz w:val="22"/>
          <w:szCs w:val="22"/>
          <w:lang w:val="ru-RU"/>
          <w14:ligatures w14:val="none"/>
        </w:rPr>
      </w:r>
      <w:r>
        <w:rPr>
          <w:rFonts w:ascii="Times New Roman" w:hAnsi="Times New Roman"/>
          <w:sz w:val="22"/>
          <w:szCs w:val="22"/>
          <w:lang w:val="ru-RU"/>
          <w14:ligatures w14:val="none"/>
        </w:rPr>
      </w:r>
    </w:p>
    <w:p>
      <w:pPr>
        <w:pStyle w:val="1106"/>
        <w:ind w:left="0" w:firstLine="709"/>
        <w:spacing w:after="0" w:line="240" w:lineRule="auto"/>
        <w:rPr>
          <w:rFonts w:ascii="Times New Roman" w:hAnsi="Times New Roman"/>
          <w:sz w:val="22"/>
          <w:szCs w:val="22"/>
          <w:lang w:val="ru-RU"/>
          <w14:ligatures w14:val="none"/>
        </w:rPr>
      </w:pPr>
      <w:r>
        <w:rPr>
          <w:rFonts w:ascii="Times New Roman" w:hAnsi="Times New Roman"/>
          <w:sz w:val="22"/>
          <w:szCs w:val="22"/>
          <w:lang w:val="ru-RU" w:eastAsia="ru-RU"/>
        </w:rPr>
        <w:t xml:space="preserve">Условия поставки товара: </w:t>
      </w:r>
      <w:r>
        <w:rPr>
          <w:rFonts w:ascii="Times New Roman" w:hAnsi="Times New Roman"/>
          <w:sz w:val="22"/>
          <w:szCs w:val="22"/>
          <w:lang w:val="ru-RU" w:eastAsia="ru-RU"/>
        </w:rPr>
        <w:t xml:space="preserve">производится силами и за счет поставщика</w:t>
      </w:r>
      <w:r>
        <w:rPr>
          <w:rFonts w:ascii="Times New Roman" w:hAnsi="Times New Roman"/>
          <w:sz w:val="22"/>
          <w:szCs w:val="22"/>
          <w:lang w:val="ru-RU" w:eastAsia="ru-RU"/>
        </w:rPr>
        <w:t xml:space="preserve">.</w:t>
      </w:r>
      <w:r>
        <w:rPr>
          <w:rFonts w:ascii="Times New Roman" w:hAnsi="Times New Roman"/>
          <w:sz w:val="22"/>
          <w:szCs w:val="22"/>
          <w:lang w:val="ru-RU"/>
          <w14:ligatures w14:val="none"/>
        </w:rPr>
      </w:r>
      <w:r>
        <w:rPr>
          <w:rFonts w:ascii="Times New Roman" w:hAnsi="Times New Roman"/>
          <w:sz w:val="22"/>
          <w:szCs w:val="22"/>
          <w:lang w:val="ru-RU"/>
          <w14:ligatures w14:val="none"/>
        </w:rPr>
      </w:r>
    </w:p>
    <w:p>
      <w:pPr>
        <w:pStyle w:val="1106"/>
        <w:ind w:left="0" w:firstLine="709"/>
        <w:spacing w:after="0" w:line="240" w:lineRule="auto"/>
        <w:rPr>
          <w:rFonts w:ascii="Times New Roman" w:hAnsi="Times New Roman"/>
          <w:sz w:val="22"/>
          <w:szCs w:val="22"/>
          <w:lang w:val="ru-RU"/>
          <w14:ligatures w14:val="none"/>
        </w:rPr>
      </w:pPr>
      <w:r>
        <w:rPr>
          <w:rFonts w:ascii="Times New Roman" w:hAnsi="Times New Roman"/>
          <w:sz w:val="22"/>
          <w:szCs w:val="22"/>
          <w:lang w:val="ru-RU" w:eastAsia="ru-RU"/>
        </w:rPr>
        <w:t xml:space="preserve">Срок поставки товара</w:t>
      </w:r>
      <w:r>
        <w:rPr>
          <w:rFonts w:ascii="Times New Roman" w:hAnsi="Times New Roman"/>
          <w:sz w:val="22"/>
          <w:szCs w:val="22"/>
          <w:lang w:val="ru-RU" w:eastAsia="ru-RU"/>
        </w:rPr>
        <w:t xml:space="preserve">:</w:t>
      </w:r>
      <w:r>
        <w:rPr>
          <w:rFonts w:ascii="Times New Roman" w:hAnsi="Times New Roman"/>
          <w:sz w:val="22"/>
          <w:szCs w:val="22"/>
          <w:lang w:val="ru-RU" w:eastAsia="ru-RU"/>
        </w:rPr>
        <w:t xml:space="preserve"> </w:t>
      </w:r>
      <w:r>
        <w:rPr>
          <w:rFonts w:ascii="Times New Roman" w:hAnsi="Times New Roman"/>
          <w:sz w:val="22"/>
          <w:szCs w:val="22"/>
          <w:lang w:val="ru-RU" w:eastAsia="ru-RU"/>
        </w:rPr>
        <w:t xml:space="preserve">осуществляется партиями в течение 5 (пяти) календарных дней с момента получения заявки от Покупателя. Количество заявок: 2-6 заявок за весь период действия Договора. Минимальный объем заявки 1500 килограмм</w:t>
      </w:r>
      <w:r>
        <w:rPr>
          <w:rFonts w:ascii="Times New Roman" w:hAnsi="Times New Roman"/>
          <w:sz w:val="22"/>
          <w:szCs w:val="22"/>
          <w:lang w:val="ru-RU" w:eastAsia="ru-RU"/>
        </w:rPr>
        <w:t xml:space="preserve">. </w:t>
      </w:r>
      <w:r>
        <w:rPr>
          <w:rFonts w:ascii="Times New Roman" w:hAnsi="Times New Roman"/>
          <w:sz w:val="22"/>
          <w:szCs w:val="22"/>
          <w:lang w:val="ru-RU"/>
          <w14:ligatures w14:val="none"/>
        </w:rPr>
      </w:r>
      <w:r>
        <w:rPr>
          <w:rFonts w:ascii="Times New Roman" w:hAnsi="Times New Roman"/>
          <w:sz w:val="22"/>
          <w:szCs w:val="22"/>
          <w:lang w:val="ru-RU"/>
          <w14:ligatures w14:val="none"/>
        </w:rPr>
      </w:r>
    </w:p>
    <w:p>
      <w:pPr>
        <w:pStyle w:val="1106"/>
        <w:ind w:left="0" w:firstLine="709"/>
        <w:spacing w:after="0" w:line="240" w:lineRule="auto"/>
        <w:rPr>
          <w:rFonts w:ascii="Times New Roman" w:hAnsi="Times New Roman" w:eastAsiaTheme="minorHAnsi"/>
          <w:b/>
          <w:sz w:val="22"/>
          <w:szCs w:val="22"/>
          <w:lang w:val="ru-RU"/>
        </w:rPr>
      </w:pPr>
      <w:r>
        <w:rPr>
          <w:rFonts w:ascii="Times New Roman" w:hAnsi="Times New Roman" w:eastAsiaTheme="minorHAnsi"/>
          <w:b/>
          <w:sz w:val="22"/>
          <w:szCs w:val="22"/>
          <w:lang w:val="ru-RU"/>
        </w:rPr>
      </w:r>
      <w:r>
        <w:rPr>
          <w:rFonts w:ascii="Times New Roman" w:hAnsi="Times New Roman" w:eastAsiaTheme="minorHAnsi"/>
          <w:b/>
          <w:sz w:val="22"/>
          <w:szCs w:val="22"/>
          <w:lang w:val="ru-RU"/>
        </w:rPr>
      </w:r>
      <w:r>
        <w:rPr>
          <w:rFonts w:ascii="Times New Roman" w:hAnsi="Times New Roman" w:eastAsiaTheme="minorHAnsi"/>
          <w:b/>
          <w:sz w:val="22"/>
          <w:szCs w:val="22"/>
          <w:lang w:val="ru-RU"/>
        </w:rPr>
      </w:r>
    </w:p>
    <w:p>
      <w:pPr>
        <w:pStyle w:val="1106"/>
        <w:ind w:left="0" w:firstLine="709"/>
        <w:spacing w:after="0" w:line="240" w:lineRule="auto"/>
        <w:rPr>
          <w:rFonts w:ascii="Times New Roman" w:hAnsi="Times New Roman" w:eastAsiaTheme="minorHAnsi"/>
          <w:b/>
          <w:sz w:val="22"/>
          <w:szCs w:val="22"/>
          <w:lang w:val="ru-RU"/>
        </w:rPr>
      </w:pPr>
      <w:r>
        <w:rPr>
          <w:rFonts w:ascii="Times New Roman" w:hAnsi="Times New Roman" w:eastAsiaTheme="minorHAnsi"/>
          <w:b/>
          <w:sz w:val="22"/>
          <w:szCs w:val="22"/>
          <w:lang w:val="ru-RU"/>
        </w:rPr>
        <w:t xml:space="preserve">8. Форма, сроки и порядок оплаты товара.</w:t>
      </w:r>
      <w:r>
        <w:rPr>
          <w:rFonts w:ascii="Times New Roman" w:hAnsi="Times New Roman" w:eastAsiaTheme="minorHAnsi"/>
          <w:b/>
          <w:sz w:val="22"/>
          <w:szCs w:val="22"/>
          <w:lang w:val="ru-RU"/>
        </w:rPr>
      </w:r>
      <w:r>
        <w:rPr>
          <w:rFonts w:ascii="Times New Roman" w:hAnsi="Times New Roman" w:eastAsiaTheme="minorHAnsi"/>
          <w:b/>
          <w:sz w:val="22"/>
          <w:szCs w:val="22"/>
          <w:lang w:val="ru-RU"/>
        </w:rPr>
      </w:r>
    </w:p>
    <w:p>
      <w:pPr>
        <w:ind w:firstLine="709"/>
        <w:jc w:val="both"/>
        <w:spacing w:after="0"/>
        <w:rPr>
          <w:rFonts w:ascii="Times New Roman" w:hAnsi="Times New Roman"/>
          <w:color w:val="000000" w:themeColor="text1"/>
          <w:lang w:eastAsia="ru-RU"/>
          <w14:ligatures w14:val="none"/>
        </w:rPr>
      </w:pPr>
      <w:r>
        <w:rPr>
          <w:rFonts w:ascii="Times New Roman" w:hAnsi="Times New Roman"/>
          <w:color w:val="000000" w:themeColor="text1"/>
          <w:lang w:eastAsia="ru-RU"/>
        </w:rPr>
      </w:r>
      <w:r>
        <w:rPr>
          <w:rFonts w:ascii="Times New Roman" w:hAnsi="Times New Roman"/>
          <w:color w:val="000000" w:themeColor="text1"/>
          <w:lang w:eastAsia="ru-RU"/>
        </w:rPr>
        <w:t xml:space="preserve">Покупатель производит оплату в размере 100% стоимости поставленной партии Товара в течени</w:t>
      </w:r>
      <w:r>
        <w:rPr>
          <w:rFonts w:ascii="Times New Roman" w:hAnsi="Times New Roman"/>
          <w:color w:val="000000" w:themeColor="text1"/>
          <w:lang w:eastAsia="ru-RU"/>
        </w:rPr>
        <w:t xml:space="preserve">и</w:t>
      </w:r>
      <w:r>
        <w:rPr>
          <w:rFonts w:ascii="Times New Roman" w:hAnsi="Times New Roman"/>
          <w:color w:val="000000" w:themeColor="text1"/>
          <w:lang w:eastAsia="ru-RU"/>
        </w:rPr>
        <w:t xml:space="preserve"> 7 (семи) календарных дней со дня передачи партии Товара Покупателю и подписания товарной накладной.</w:t>
      </w:r>
      <w:r>
        <w:rPr>
          <w:rFonts w:ascii="Times New Roman" w:hAnsi="Times New Roman"/>
          <w:color w:val="000000" w:themeColor="text1"/>
          <w:lang w:eastAsia="ru-RU"/>
          <w14:ligatures w14:val="none"/>
        </w:rPr>
      </w:r>
      <w:r>
        <w:rPr>
          <w:rFonts w:ascii="Times New Roman" w:hAnsi="Times New Roman"/>
          <w:color w:val="000000" w:themeColor="text1"/>
          <w:lang w:eastAsia="ru-RU"/>
          <w14:ligatures w14:val="none"/>
        </w:rPr>
      </w:r>
    </w:p>
    <w:p>
      <w:pPr>
        <w:ind w:firstLine="709"/>
        <w:jc w:val="both"/>
        <w:spacing w:after="0"/>
        <w:rPr>
          <w:rFonts w:ascii="Times New Roman" w:hAnsi="Times New Roman"/>
          <w:color w:val="000000" w:themeColor="text1"/>
          <w:lang w:eastAsia="ru-RU"/>
          <w14:ligatures w14:val="none"/>
        </w:rPr>
      </w:pPr>
      <w:r>
        <w:rPr>
          <w:rFonts w:ascii="Times New Roman" w:hAnsi="Times New Roman"/>
          <w:color w:val="000000" w:themeColor="text1"/>
          <w:lang w:val="tt-RU" w:eastAsia="ru-RU"/>
        </w:rPr>
      </w:r>
      <w:r>
        <w:rPr>
          <w:rFonts w:ascii="Times New Roman" w:hAnsi="Times New Roman"/>
          <w:color w:val="000000" w:themeColor="text1"/>
          <w:lang w:eastAsia="ru-RU"/>
          <w14:ligatures w14:val="none"/>
        </w:rPr>
      </w:r>
      <w:r>
        <w:rPr>
          <w:rFonts w:ascii="Times New Roman" w:hAnsi="Times New Roman"/>
          <w:color w:val="000000" w:themeColor="text1"/>
          <w:lang w:eastAsia="ru-RU"/>
          <w14:ligatures w14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/>
          <w:b/>
          <w:lang w:val="tt-RU"/>
        </w:rPr>
        <w:t xml:space="preserve">9. </w:t>
      </w:r>
      <w:r>
        <w:rPr>
          <w:rFonts w:ascii="Times New Roman" w:hAnsi="Times New Roman" w:eastAsia="Calibri"/>
          <w:b/>
        </w:rPr>
        <w:t xml:space="preserve">Требования к безопасности, качеству, техническим характеристикам, функциональным характеристикам (потребительским свойствам) товара, работы, услуги, к размерам,</w:t>
      </w:r>
      <w:r>
        <w:rPr>
          <w:rFonts w:ascii="Times New Roman" w:hAnsi="Times New Roman" w:eastAsia="Calibri"/>
          <w:b/>
        </w:rPr>
        <w:t xml:space="preserve"> упаковке, отгрузке товара, к результатам работы,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регулировании, документами, разрабатываемыми и применяемыми в нацио</w:t>
      </w:r>
      <w:r>
        <w:rPr>
          <w:rFonts w:ascii="Times New Roman" w:hAnsi="Times New Roman" w:eastAsia="Calibri"/>
          <w:b/>
        </w:rPr>
        <w:t xml:space="preserve">нальной системе стандартизации, принятыми в соответствии с законодательством Российской Федерации 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заказчика. </w:t>
      </w: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 xml:space="preserve">Товар, предлагаемый Участниками закупки к поставке, должен соответствовать требованиям, установленным в Техническом задании.</w:t>
      </w:r>
      <w:r>
        <w:rPr>
          <w:rFonts w:ascii="Times New Roman" w:hAnsi="Times New Roman"/>
          <w:lang w:eastAsia="en-US"/>
        </w:rPr>
      </w:r>
      <w:r>
        <w:rPr>
          <w:rFonts w:ascii="Times New Roman" w:hAnsi="Times New Roman"/>
          <w:lang w:eastAsia="en-US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Theme="minorHAnsi"/>
          <w:b/>
          <w:lang w:eastAsia="en-US"/>
        </w:rPr>
      </w:pPr>
      <w:r>
        <w:rPr>
          <w:rFonts w:ascii="Times New Roman" w:hAnsi="Times New Roman" w:eastAsiaTheme="minorHAnsi"/>
          <w:b/>
          <w:lang w:eastAsia="en-US"/>
        </w:rPr>
      </w:r>
      <w:r>
        <w:rPr>
          <w:rFonts w:ascii="Times New Roman" w:hAnsi="Times New Roman" w:eastAsiaTheme="minorHAnsi"/>
          <w:b/>
          <w:lang w:eastAsia="en-US"/>
        </w:rPr>
      </w:r>
      <w:r>
        <w:rPr>
          <w:rFonts w:ascii="Times New Roman" w:hAnsi="Times New Roman" w:eastAsiaTheme="minorHAnsi"/>
          <w:b/>
          <w:lang w:eastAsia="en-US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Theme="minorHAnsi"/>
          <w:b/>
          <w:lang w:eastAsia="en-US"/>
        </w:rPr>
      </w:pPr>
      <w:r>
        <w:rPr>
          <w:rFonts w:ascii="Times New Roman" w:hAnsi="Times New Roman" w:eastAsiaTheme="minorHAnsi"/>
          <w:b/>
          <w:lang w:eastAsia="en-US"/>
        </w:rPr>
        <w:t xml:space="preserve">10. Описание предмета запроса котировок</w:t>
      </w:r>
      <w:r>
        <w:rPr>
          <w:rFonts w:ascii="Times New Roman" w:hAnsi="Times New Roman" w:eastAsiaTheme="minorHAnsi"/>
          <w:b/>
          <w:lang w:eastAsia="en-US"/>
        </w:rPr>
      </w:r>
      <w:r>
        <w:rPr>
          <w:rFonts w:ascii="Times New Roman" w:hAnsi="Times New Roman" w:eastAsiaTheme="minorHAnsi"/>
          <w:b/>
          <w:lang w:eastAsia="en-US"/>
        </w:rPr>
      </w:r>
    </w:p>
    <w:p>
      <w:pPr>
        <w:pStyle w:val="1106"/>
        <w:ind w:left="0" w:firstLine="709"/>
        <w:spacing w:after="0" w:line="240" w:lineRule="auto"/>
        <w:rPr>
          <w:rFonts w:ascii="Times New Roman" w:hAnsi="Times New Roman" w:eastAsiaTheme="minorHAnsi"/>
          <w:sz w:val="22"/>
          <w:szCs w:val="22"/>
          <w:lang w:val="ru-RU"/>
        </w:rPr>
      </w:pPr>
      <w:r>
        <w:rPr>
          <w:rFonts w:ascii="Times New Roman" w:hAnsi="Times New Roman" w:eastAsiaTheme="minorHAnsi"/>
          <w:sz w:val="22"/>
          <w:szCs w:val="22"/>
          <w:lang w:val="ru-RU"/>
        </w:rPr>
        <w:t xml:space="preserve">Описание товара указано в Техническом задании.</w:t>
      </w:r>
      <w:r>
        <w:rPr>
          <w:rFonts w:ascii="Times New Roman" w:hAnsi="Times New Roman" w:eastAsiaTheme="minorHAnsi"/>
          <w:sz w:val="22"/>
          <w:szCs w:val="22"/>
          <w:lang w:val="ru-RU"/>
        </w:rPr>
      </w:r>
      <w:r>
        <w:rPr>
          <w:rFonts w:ascii="Times New Roman" w:hAnsi="Times New Roman" w:eastAsiaTheme="minorHAnsi"/>
          <w:sz w:val="22"/>
          <w:szCs w:val="22"/>
          <w:lang w:val="ru-RU"/>
        </w:rPr>
      </w:r>
    </w:p>
    <w:p>
      <w:pPr>
        <w:pStyle w:val="1106"/>
        <w:ind w:left="0" w:firstLine="709"/>
        <w:spacing w:after="0" w:line="240" w:lineRule="auto"/>
        <w:rPr>
          <w:rFonts w:ascii="Times New Roman" w:hAnsi="Times New Roman" w:eastAsiaTheme="minorHAnsi"/>
          <w:b/>
          <w:sz w:val="22"/>
          <w:szCs w:val="22"/>
          <w:lang w:val="ru-RU"/>
        </w:rPr>
      </w:pPr>
      <w:r>
        <w:rPr>
          <w:rFonts w:ascii="Times New Roman" w:hAnsi="Times New Roman" w:eastAsiaTheme="minorHAnsi"/>
          <w:b/>
          <w:sz w:val="22"/>
          <w:szCs w:val="22"/>
          <w:lang w:val="ru-RU"/>
        </w:rPr>
      </w:r>
      <w:r>
        <w:rPr>
          <w:rFonts w:ascii="Times New Roman" w:hAnsi="Times New Roman" w:eastAsiaTheme="minorHAnsi"/>
          <w:b/>
          <w:sz w:val="22"/>
          <w:szCs w:val="22"/>
          <w:lang w:val="ru-RU"/>
        </w:rPr>
      </w:r>
      <w:r>
        <w:rPr>
          <w:rFonts w:ascii="Times New Roman" w:hAnsi="Times New Roman" w:eastAsiaTheme="minorHAnsi"/>
          <w:b/>
          <w:sz w:val="22"/>
          <w:szCs w:val="22"/>
          <w:lang w:val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Theme="minorHAnsi"/>
          <w:lang w:eastAsia="en-US"/>
        </w:rPr>
      </w:pPr>
      <w:r>
        <w:rPr>
          <w:rFonts w:ascii="Times New Roman" w:hAnsi="Times New Roman" w:eastAsiaTheme="minorHAnsi"/>
          <w:b/>
          <w:lang w:eastAsia="en-US"/>
        </w:rPr>
        <w:t xml:space="preserve">11. Требования к описанию участниками такой закупки поставляемого товара, который является предметом запроса котировок, его функциональных характеристик (потребительских свойств), его количественных и качественных характеристик</w:t>
      </w:r>
      <w:r>
        <w:rPr>
          <w:rFonts w:ascii="Times New Roman" w:hAnsi="Times New Roman" w:eastAsiaTheme="minorHAnsi"/>
          <w:lang w:eastAsia="en-US"/>
        </w:rPr>
        <w:t xml:space="preserve"> </w:t>
      </w:r>
      <w:r>
        <w:rPr>
          <w:rFonts w:ascii="Times New Roman" w:hAnsi="Times New Roman" w:eastAsiaTheme="minorHAnsi"/>
          <w:lang w:eastAsia="en-US"/>
        </w:rPr>
      </w:r>
      <w:r>
        <w:rPr>
          <w:rFonts w:ascii="Times New Roman" w:hAnsi="Times New Roman" w:eastAsiaTheme="minorHAnsi"/>
          <w:lang w:eastAsia="en-US"/>
        </w:rPr>
      </w:r>
    </w:p>
    <w:p>
      <w:pPr>
        <w:pStyle w:val="1106"/>
        <w:ind w:left="0" w:firstLine="709"/>
        <w:spacing w:after="0" w:line="240" w:lineRule="auto"/>
        <w:rPr>
          <w:rFonts w:ascii="Times New Roman" w:hAnsi="Times New Roman" w:eastAsiaTheme="minorHAnsi"/>
          <w:sz w:val="22"/>
          <w:szCs w:val="22"/>
          <w:lang w:val="ru-RU"/>
        </w:rPr>
      </w:pPr>
      <w:r>
        <w:rPr>
          <w:rFonts w:ascii="Times New Roman" w:hAnsi="Times New Roman" w:eastAsiaTheme="minorHAnsi"/>
          <w:sz w:val="22"/>
          <w:szCs w:val="22"/>
          <w:lang w:val="ru-RU"/>
        </w:rPr>
        <w:t xml:space="preserve">Участникам закупки при описании товара, предлагаемого к поставке, необходимо указывать показатели товара, соответствующие значениям, установленным в Техническом задании.</w:t>
      </w:r>
      <w:r>
        <w:rPr>
          <w:rFonts w:ascii="Times New Roman" w:hAnsi="Times New Roman" w:eastAsiaTheme="minorHAnsi"/>
          <w:sz w:val="22"/>
          <w:szCs w:val="22"/>
          <w:lang w:val="ru-RU"/>
        </w:rPr>
      </w:r>
      <w:r>
        <w:rPr>
          <w:rFonts w:ascii="Times New Roman" w:hAnsi="Times New Roman" w:eastAsiaTheme="minorHAnsi"/>
          <w:sz w:val="22"/>
          <w:szCs w:val="22"/>
          <w:lang w:val="ru-RU"/>
        </w:rPr>
      </w:r>
    </w:p>
    <w:p>
      <w:pPr>
        <w:pStyle w:val="1106"/>
        <w:ind w:left="0" w:firstLine="709"/>
        <w:spacing w:after="0" w:line="240" w:lineRule="auto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</w:r>
      <w:r>
        <w:rPr>
          <w:rFonts w:ascii="Times New Roman" w:hAnsi="Times New Roman"/>
          <w:b/>
          <w:sz w:val="22"/>
          <w:szCs w:val="22"/>
          <w:lang w:val="ru-RU"/>
        </w:rPr>
      </w: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pStyle w:val="1106"/>
        <w:ind w:left="0" w:firstLine="709"/>
        <w:spacing w:after="0" w:line="240" w:lineRule="auto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  <w:t xml:space="preserve">12. Адрес электронной площадки в информационно-телекоммуникационной сети «Интернет»:</w:t>
      </w:r>
      <w:r>
        <w:rPr>
          <w:rFonts w:ascii="Times New Roman" w:hAnsi="Times New Roman"/>
          <w:sz w:val="22"/>
          <w:szCs w:val="22"/>
          <w:lang w:val="ru-RU"/>
        </w:rPr>
        <w:t xml:space="preserve"> Электронная торговая площадка </w:t>
      </w:r>
      <w:hyperlink r:id="rId14" w:tooltip="https://etpzakupki.tatar/" w:history="1">
        <w:r>
          <w:rPr>
            <w:rStyle w:val="989"/>
            <w:rFonts w:ascii="Times New Roman" w:hAnsi="Times New Roman"/>
            <w:sz w:val="22"/>
            <w:szCs w:val="22"/>
          </w:rPr>
          <w:t xml:space="preserve">https</w:t>
        </w:r>
        <w:r>
          <w:rPr>
            <w:rStyle w:val="989"/>
            <w:rFonts w:ascii="Times New Roman" w:hAnsi="Times New Roman"/>
            <w:sz w:val="22"/>
            <w:szCs w:val="22"/>
            <w:lang w:val="ru-RU"/>
          </w:rPr>
          <w:t xml:space="preserve">://</w:t>
        </w:r>
        <w:r>
          <w:rPr>
            <w:rStyle w:val="989"/>
            <w:rFonts w:ascii="Times New Roman" w:hAnsi="Times New Roman"/>
            <w:sz w:val="22"/>
            <w:szCs w:val="22"/>
          </w:rPr>
          <w:t xml:space="preserve">etpzakupki</w:t>
        </w:r>
        <w:r>
          <w:rPr>
            <w:rStyle w:val="989"/>
            <w:rFonts w:ascii="Times New Roman" w:hAnsi="Times New Roman"/>
            <w:sz w:val="22"/>
            <w:szCs w:val="22"/>
            <w:lang w:val="ru-RU"/>
          </w:rPr>
          <w:t xml:space="preserve">.</w:t>
        </w:r>
        <w:r>
          <w:rPr>
            <w:rStyle w:val="989"/>
            <w:rFonts w:ascii="Times New Roman" w:hAnsi="Times New Roman"/>
            <w:sz w:val="22"/>
            <w:szCs w:val="22"/>
          </w:rPr>
          <w:t xml:space="preserve">tatar</w:t>
        </w:r>
        <w:r>
          <w:rPr>
            <w:rStyle w:val="989"/>
            <w:rFonts w:ascii="Times New Roman" w:hAnsi="Times New Roman"/>
            <w:sz w:val="22"/>
            <w:szCs w:val="22"/>
            <w:lang w:val="ru-RU"/>
          </w:rPr>
          <w:t xml:space="preserve">/</w:t>
        </w:r>
      </w:hyperlink>
      <w:r>
        <w:rPr>
          <w:rFonts w:ascii="Times New Roman" w:hAnsi="Times New Roman"/>
          <w:b/>
          <w:sz w:val="22"/>
          <w:szCs w:val="22"/>
          <w:lang w:val="ru-RU"/>
        </w:rPr>
        <w:t xml:space="preserve">.</w:t>
      </w:r>
      <w:r>
        <w:rPr>
          <w:rFonts w:ascii="Times New Roman" w:hAnsi="Times New Roman"/>
          <w:b/>
          <w:sz w:val="22"/>
          <w:szCs w:val="22"/>
          <w:lang w:val="ru-RU"/>
        </w:rPr>
      </w: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pStyle w:val="1106"/>
        <w:ind w:left="0" w:firstLine="709"/>
        <w:spacing w:after="0" w:line="240" w:lineRule="auto"/>
        <w:rPr>
          <w:rFonts w:ascii="Times New Roman" w:hAnsi="Times New Roman" w:eastAsiaTheme="minorHAnsi"/>
          <w:b/>
          <w:sz w:val="22"/>
          <w:szCs w:val="22"/>
          <w:lang w:val="ru-RU"/>
        </w:rPr>
      </w:pPr>
      <w:r>
        <w:rPr>
          <w:rFonts w:ascii="Times New Roman" w:hAnsi="Times New Roman" w:eastAsiaTheme="minorHAnsi"/>
          <w:b/>
          <w:sz w:val="22"/>
          <w:szCs w:val="22"/>
          <w:lang w:val="ru-RU"/>
        </w:rPr>
      </w:r>
      <w:r>
        <w:rPr>
          <w:rFonts w:ascii="Times New Roman" w:hAnsi="Times New Roman" w:eastAsiaTheme="minorHAnsi"/>
          <w:b/>
          <w:sz w:val="22"/>
          <w:szCs w:val="22"/>
          <w:lang w:val="ru-RU"/>
        </w:rPr>
      </w:r>
      <w:r>
        <w:rPr>
          <w:rFonts w:ascii="Times New Roman" w:hAnsi="Times New Roman" w:eastAsiaTheme="minorHAnsi"/>
          <w:b/>
          <w:sz w:val="22"/>
          <w:szCs w:val="22"/>
          <w:lang w:val="ru-RU"/>
        </w:rPr>
      </w:r>
    </w:p>
    <w:p>
      <w:pPr>
        <w:pStyle w:val="1106"/>
        <w:ind w:left="0" w:firstLine="709"/>
        <w:spacing w:after="0" w:line="240" w:lineRule="auto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 w:eastAsiaTheme="minorHAnsi"/>
          <w:b/>
          <w:sz w:val="22"/>
          <w:szCs w:val="22"/>
          <w:lang w:val="ru-RU"/>
        </w:rPr>
        <w:t xml:space="preserve">13. Порядок, дата начала, дата и время окончания срока подачи заявок на участие в запросе котировок и порядок подведения итогов запроса котировок.</w:t>
      </w:r>
      <w:r>
        <w:rPr>
          <w:rFonts w:ascii="Times New Roman" w:hAnsi="Times New Roman"/>
          <w:b/>
          <w:sz w:val="22"/>
          <w:szCs w:val="22"/>
          <w:lang w:val="ru-RU"/>
        </w:rPr>
      </w: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Запрос котировок проводится на электронной п</w:t>
      </w:r>
      <w:r>
        <w:rPr>
          <w:rFonts w:ascii="Times New Roman" w:hAnsi="Times New Roman"/>
          <w:lang w:eastAsia="ru-RU"/>
        </w:rPr>
        <w:t xml:space="preserve">лощадке в соответствии с регламентом работы электронной площадки. Документооборот при этом осуществляется в форме электронных документов с применением усиленной квалифицированной электронной подписи. Порядок осуществления электронного документооборота на э</w:t>
      </w:r>
      <w:r>
        <w:rPr>
          <w:rFonts w:ascii="Times New Roman" w:hAnsi="Times New Roman"/>
          <w:lang w:eastAsia="ru-RU"/>
        </w:rPr>
        <w:t xml:space="preserve">лектронной площадке регулируется оператором соответствующей электронной площадки. Участнику запроса котировок для участия в запросе котировок необходимо получить аккредитацию на электронной площадке в порядке, установленном оператором электронной площадки.</w:t>
      </w: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Подача заявок осуществляется со дня размещения извещения о проведении запроса котировок в ЕИС и до окончания срока подачи заявок, установленного в извещении о проведении запросе котировок. </w:t>
      </w: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Участник закупки вправе подать не более одной за</w:t>
      </w:r>
      <w:r>
        <w:rPr>
          <w:rFonts w:ascii="Times New Roman" w:hAnsi="Times New Roman"/>
          <w:lang w:eastAsia="ru-RU"/>
        </w:rPr>
        <w:t xml:space="preserve">явки на участие в запросе котировок в сроки, указанные в извещении о проведении запроса котировок. Заявки на участие в запросе котировок, поступившие после истечения указанного срока подачи заявок, автоматически отклоняются оператором электронной площадки.</w:t>
      </w: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Участник запроса котировок вправе изменить или отозвать свою заявку до истечения срока подачи заявок. Заявка на участие в такой закупке является измененной или отозванной, если изменение осуществлено или уведомление об отзыве заявки получено опер</w:t>
      </w:r>
      <w:r>
        <w:rPr>
          <w:rFonts w:ascii="Times New Roman" w:hAnsi="Times New Roman"/>
          <w:lang w:eastAsia="ru-RU"/>
        </w:rPr>
        <w:t xml:space="preserve">атором электронной площадки до истечения срока подачи заявок на участие в такой закупке. Изменение и (или) отзыв котировочных заявок после истечения срока подачи котировочных заявок, установленного извещением о проведении запроса котировок, не допускается.</w:t>
      </w: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Оператор электронной площадки обеспечивает конфиденциальность поданных заявок на участие в запросе котировок в электронном виде.</w:t>
      </w: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Победителем запроса котировок признается участник закупки, который подал котировочную заявку, отвечающую всем требованиям, установленным в извещении о проведении запроса котировок, и предложил наиболее низкую цену договора. В</w:t>
      </w:r>
      <w:r>
        <w:rPr>
          <w:rFonts w:ascii="Times New Roman" w:hAnsi="Times New Roman"/>
          <w:lang w:eastAsia="ru-RU"/>
        </w:rPr>
        <w:t xml:space="preserve"> случае, если в нескольких заявках на участие в запросе котировок содержатся одинаковые ценовые предложения, меньший порядковый номер присваивается заявке на участие в запросе котировок, которая поступила ранее других заявок на участие в запросе котировок.</w:t>
      </w: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b/>
          <w:lang w:eastAsia="ru-RU"/>
        </w:rPr>
        <w:t xml:space="preserve">Дата начала подачи заявок: </w:t>
      </w:r>
      <w:r>
        <w:rPr>
          <w:rFonts w:ascii="Times New Roman" w:hAnsi="Times New Roman"/>
          <w:b/>
          <w:lang w:eastAsia="ru-RU"/>
        </w:rPr>
        <w:t xml:space="preserve">26.06.</w:t>
      </w:r>
      <w:r>
        <w:rPr>
          <w:rFonts w:ascii="Times New Roman" w:hAnsi="Times New Roman"/>
          <w:b/>
          <w:lang w:eastAsia="ru-RU"/>
        </w:rPr>
        <w:t xml:space="preserve">2026 года.</w:t>
      </w: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</w:p>
    <w:p>
      <w:pPr>
        <w:pStyle w:val="1106"/>
        <w:ind w:left="0" w:firstLine="709"/>
        <w:spacing w:after="0" w:line="240" w:lineRule="auto"/>
        <w:rPr>
          <w:rFonts w:ascii="Times New Roman" w:hAnsi="Times New Roman"/>
          <w:b/>
          <w:sz w:val="22"/>
          <w:szCs w:val="22"/>
          <w:lang w:val="ru-RU" w:eastAsia="ru-RU"/>
        </w:rPr>
      </w:pPr>
      <w:r>
        <w:rPr>
          <w:rFonts w:ascii="Times New Roman" w:hAnsi="Times New Roman"/>
          <w:b/>
          <w:sz w:val="22"/>
          <w:szCs w:val="22"/>
          <w:lang w:val="ru-RU" w:eastAsia="ru-RU"/>
        </w:rPr>
        <w:t xml:space="preserve">Дата и время окончания срока подачи заявок:</w:t>
      </w:r>
      <w:r>
        <w:rPr>
          <w:rFonts w:ascii="Times New Roman" w:hAnsi="Times New Roman"/>
          <w:sz w:val="22"/>
          <w:szCs w:val="22"/>
          <w:lang w:val="ru-RU" w:eastAsia="ru-RU"/>
        </w:rPr>
        <w:t xml:space="preserve"> 07 ч. 00 мин. (по московскому времени) </w:t>
      </w:r>
      <w:r>
        <w:rPr>
          <w:rFonts w:ascii="Times New Roman" w:hAnsi="Times New Roman"/>
          <w:b/>
          <w:sz w:val="22"/>
          <w:szCs w:val="22"/>
          <w:lang w:val="ru-RU" w:eastAsia="ru-RU"/>
        </w:rPr>
        <w:t xml:space="preserve">06</w:t>
      </w:r>
      <w:r>
        <w:rPr>
          <w:rFonts w:ascii="Times New Roman" w:hAnsi="Times New Roman"/>
          <w:b/>
          <w:sz w:val="22"/>
          <w:szCs w:val="22"/>
          <w:lang w:val="ru-RU" w:eastAsia="ru-RU"/>
        </w:rPr>
        <w:t xml:space="preserve">.07.</w:t>
      </w:r>
      <w:r>
        <w:rPr>
          <w:rFonts w:ascii="Times New Roman" w:hAnsi="Times New Roman"/>
          <w:b/>
          <w:sz w:val="22"/>
          <w:szCs w:val="22"/>
          <w:lang w:val="ru-RU" w:eastAsia="ru-RU"/>
        </w:rPr>
        <w:t xml:space="preserve">2026 года.</w:t>
      </w:r>
      <w:r>
        <w:rPr>
          <w:rFonts w:ascii="Times New Roman" w:hAnsi="Times New Roman"/>
          <w:b/>
          <w:sz w:val="22"/>
          <w:szCs w:val="22"/>
          <w:lang w:val="ru-RU" w:eastAsia="ru-RU"/>
        </w:rPr>
      </w:r>
      <w:r>
        <w:rPr>
          <w:rFonts w:ascii="Times New Roman" w:hAnsi="Times New Roman"/>
          <w:b/>
          <w:sz w:val="22"/>
          <w:szCs w:val="22"/>
          <w:lang w:val="ru-RU"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b/>
          <w:color w:val="000000"/>
          <w:lang w:val="tt-RU" w:eastAsia="ru-RU"/>
        </w:rPr>
      </w:pPr>
      <w:r>
        <w:rPr>
          <w:rFonts w:ascii="Times New Roman" w:hAnsi="Times New Roman"/>
          <w:b/>
          <w:color w:val="000000"/>
          <w:lang w:val="tt-RU" w:eastAsia="ru-RU"/>
        </w:rPr>
      </w:r>
      <w:r>
        <w:rPr>
          <w:rFonts w:ascii="Times New Roman" w:hAnsi="Times New Roman"/>
          <w:b/>
          <w:color w:val="000000"/>
          <w:lang w:val="tt-RU" w:eastAsia="ru-RU"/>
        </w:rPr>
      </w:r>
      <w:r>
        <w:rPr>
          <w:rFonts w:ascii="Times New Roman" w:hAnsi="Times New Roman"/>
          <w:b/>
          <w:color w:val="000000"/>
          <w:lang w:val="tt-RU"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b/>
          <w:color w:val="000000"/>
          <w:lang w:eastAsia="ru-RU"/>
        </w:rPr>
      </w:pPr>
      <w:r>
        <w:rPr>
          <w:rFonts w:ascii="Times New Roman" w:hAnsi="Times New Roman"/>
          <w:b/>
          <w:color w:val="000000"/>
          <w:lang w:eastAsia="ru-RU"/>
        </w:rPr>
        <w:t xml:space="preserve">14. Формы, порядок, дата и время окончания срока предоставления участникам закупки разъяснений положений извещения о закупке.</w:t>
      </w:r>
      <w:r>
        <w:rPr>
          <w:rFonts w:ascii="Times New Roman" w:hAnsi="Times New Roman"/>
          <w:b/>
          <w:color w:val="000000"/>
          <w:lang w:eastAsia="ru-RU"/>
        </w:rPr>
      </w:r>
      <w:r>
        <w:rPr>
          <w:rFonts w:ascii="Times New Roman" w:hAnsi="Times New Roman"/>
          <w:b/>
          <w:color w:val="000000"/>
          <w:lang w:eastAsia="ru-RU"/>
        </w:rPr>
      </w:r>
    </w:p>
    <w:p>
      <w:pPr>
        <w:pStyle w:val="1120"/>
        <w:contextualSpacing/>
        <w:ind w:firstLine="709"/>
        <w:jc w:val="both"/>
        <w:spacing w:after="2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Любой участник закупки вправе направить Заказчику в порядке, предусмотренном Положением, запрос о даче разъяснений положений извещения об осуществлении закупки.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1120"/>
        <w:contextualSpacing/>
        <w:ind w:firstLine="709"/>
        <w:jc w:val="both"/>
        <w:spacing w:after="2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течение трех рабочих дней с даты поступления запроса заказчик осу</w:t>
      </w:r>
      <w:r>
        <w:rPr>
          <w:rFonts w:ascii="Times New Roman" w:hAnsi="Times New Roman"/>
        </w:rPr>
        <w:t xml:space="preserve">ществляет разъяснение положений извещения размещает их в единой информационной системе с указанием предмета запроса, но без указания участника такой закупки, от которого поступил указанный запрос. При этом заказчик вправе не осуществлять такое разъяснение </w:t>
      </w:r>
      <w:r>
        <w:rPr>
          <w:rFonts w:ascii="Times New Roman" w:hAnsi="Times New Roman"/>
          <w:i/>
        </w:rPr>
        <w:t xml:space="preserve">в случае, если указанный запрос поступил позднее, чем за три рабочих дня до даты окончания срока подачи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</w:rPr>
        <w:t xml:space="preserve">заявок</w:t>
      </w:r>
      <w:r>
        <w:rPr>
          <w:rFonts w:ascii="Times New Roman" w:hAnsi="Times New Roman"/>
        </w:rPr>
        <w:t xml:space="preserve"> на участие в закупке (Пункт 13 настоящего Извещения).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1120"/>
        <w:contextualSpacing/>
        <w:ind w:firstLine="709"/>
        <w:jc w:val="both"/>
        <w:spacing w:after="2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Разъяснения положений извещения о закупке не должны изменять предмет закупки и существенные условия проекта договора.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Прием запросов о даче разъяснений положений извещения осуществляется </w:t>
      </w:r>
      <w:r>
        <w:rPr>
          <w:rFonts w:ascii="Times New Roman" w:hAnsi="Times New Roman"/>
          <w:b/>
        </w:rPr>
        <w:t xml:space="preserve">с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lang w:eastAsia="ru-RU"/>
        </w:rPr>
        <w:t xml:space="preserve">26.06.</w:t>
      </w:r>
      <w:r>
        <w:rPr>
          <w:rFonts w:ascii="Times New Roman" w:hAnsi="Times New Roman"/>
          <w:b/>
        </w:rPr>
        <w:t xml:space="preserve">2026 года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 xml:space="preserve">по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 xml:space="preserve">01.07.</w:t>
      </w:r>
      <w:r>
        <w:rPr>
          <w:rFonts w:ascii="Times New Roman" w:hAnsi="Times New Roman"/>
          <w:b/>
        </w:rPr>
        <w:t xml:space="preserve">2026 года</w:t>
      </w:r>
      <w:r>
        <w:rPr>
          <w:rFonts w:ascii="Times New Roman" w:hAnsi="Times New Roman"/>
        </w:rPr>
        <w:t xml:space="preserve"> включительно.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Срок предоставления участникам запроса котировок разъяснений положений извещения </w:t>
      </w:r>
      <w:r>
        <w:rPr>
          <w:rFonts w:ascii="Times New Roman" w:hAnsi="Times New Roman"/>
          <w:b/>
          <w:bCs/>
        </w:rPr>
        <w:t xml:space="preserve">с </w:t>
      </w:r>
      <w:r>
        <w:rPr>
          <w:rFonts w:ascii="Times New Roman" w:hAnsi="Times New Roman"/>
          <w:b/>
          <w:bCs/>
        </w:rPr>
        <w:t xml:space="preserve">26.06.</w:t>
      </w:r>
      <w:r>
        <w:rPr>
          <w:rFonts w:ascii="Times New Roman" w:hAnsi="Times New Roman"/>
          <w:b/>
          <w:bCs/>
        </w:rPr>
        <w:t xml:space="preserve">2026 года по 23ч. 59 мин. </w:t>
      </w:r>
      <w:r>
        <w:rPr>
          <w:rFonts w:ascii="Times New Roman" w:hAnsi="Times New Roman"/>
          <w:b/>
          <w:bCs/>
        </w:rPr>
        <w:t xml:space="preserve">03.07.</w:t>
      </w:r>
      <w:r>
        <w:rPr>
          <w:rFonts w:ascii="Times New Roman" w:hAnsi="Times New Roman"/>
          <w:b/>
          <w:bCs/>
        </w:rPr>
        <w:t xml:space="preserve">2026 года</w:t>
      </w:r>
      <w:r>
        <w:rPr>
          <w:rFonts w:ascii="Times New Roman" w:hAnsi="Times New Roman"/>
        </w:rPr>
        <w:t xml:space="preserve"> включительно (в случае, если последний день срока предоставления разъяснений положений извещения приходится на нерабочий день, днем окончания срока предоставления разъяснений считается ближайший следующий за ним рабочий день).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b/>
          <w:lang w:val="tt-RU"/>
        </w:rPr>
      </w:pPr>
      <w:r>
        <w:rPr>
          <w:rFonts w:ascii="Times New Roman" w:hAnsi="Times New Roman" w:eastAsia="Calibri"/>
          <w:b/>
          <w:lang w:val="tt-RU"/>
        </w:rPr>
      </w:r>
      <w:r>
        <w:rPr>
          <w:rFonts w:ascii="Times New Roman" w:hAnsi="Times New Roman" w:eastAsia="Calibri"/>
          <w:b/>
          <w:lang w:val="tt-RU"/>
        </w:rPr>
      </w:r>
      <w:r>
        <w:rPr>
          <w:rFonts w:ascii="Times New Roman" w:hAnsi="Times New Roman" w:eastAsia="Calibri"/>
          <w:b/>
          <w:lang w:val="tt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  <w:t xml:space="preserve">15. Срок, в течение которого заказчик вправе внести изменения в извещение о проведении запроса котировок, отказаться от проведения запроса котировок.</w:t>
      </w: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Theme="minorHAnsi"/>
          <w:lang w:eastAsia="en-US"/>
        </w:rPr>
      </w:pPr>
      <w:r>
        <w:rPr>
          <w:rFonts w:ascii="Times New Roman" w:hAnsi="Times New Roman" w:eastAsiaTheme="minorHAnsi"/>
          <w:lang w:eastAsia="en-US"/>
        </w:rPr>
        <w:t xml:space="preserve">Заказчик вправе принять решение о внесении изменений в извещение о проведении запроса котировок не позднее чем за один день до даты окончания срока подачи заявок на участие в запросе котировок. Изменение предмета закупки не допускается.</w:t>
      </w:r>
      <w:r>
        <w:rPr>
          <w:rFonts w:ascii="Times New Roman" w:hAnsi="Times New Roman" w:eastAsiaTheme="minorHAnsi"/>
          <w:lang w:eastAsia="en-US"/>
        </w:rPr>
      </w:r>
      <w:r>
        <w:rPr>
          <w:rFonts w:ascii="Times New Roman" w:hAnsi="Times New Roman" w:eastAsiaTheme="minorHAnsi"/>
          <w:lang w:eastAsia="en-US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Не позднее чем в течение трех дней с даты принятия решения указанные изменения р</w:t>
      </w:r>
      <w:r>
        <w:rPr>
          <w:rFonts w:ascii="Times New Roman" w:hAnsi="Times New Roman" w:eastAsia="Calibri"/>
        </w:rPr>
        <w:t xml:space="preserve">азмещаются заказчиком на электронной площадке и в единой информационной системе в порядке, установленном для размещения в единой информационной системе извещения о проведении запроса котировок. При этом срок подачи заявок на участие в запросе котировок дол</w:t>
      </w:r>
      <w:r>
        <w:rPr>
          <w:rFonts w:ascii="Times New Roman" w:hAnsi="Times New Roman" w:eastAsia="Calibri"/>
        </w:rPr>
        <w:t xml:space="preserve">жен быть продлен так, чтобы с даты размещения в единой информационной системе указанных изменений до даты истечения срока подачи заявок на участие в запросе котировок этот срок составлял не менее половины срока подачи заявок на участие в запросе котировок.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Заказчик вправе принять решение об отказе от проведения запроса котировок до наступления даты и времени окончания срока подачи заявок на участие в запросе котировок.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Решение об отмене запроса котировок размещается в ЕИС и на электронной площадке в день принятия этого решения.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По истеч</w:t>
      </w:r>
      <w:r>
        <w:rPr>
          <w:rFonts w:ascii="Times New Roman" w:hAnsi="Times New Roman" w:eastAsia="Calibri"/>
        </w:rPr>
        <w:t xml:space="preserve">ении срока отмены проведения запроса котировок и до заключения договора заказчик вправе отменить определение поставщика (исполнителя, подрядчика) только в случае возникновения обстоятельств непреодолимой силы в соответствии с гражданским законодательством.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</w:p>
    <w:p>
      <w:pPr>
        <w:pStyle w:val="1106"/>
        <w:ind w:left="0" w:firstLine="709"/>
        <w:spacing w:after="0" w:line="240" w:lineRule="auto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  <w:t xml:space="preserve">16. Дата рассмотрения заявок участников закупки и подведения итогов закупки.</w:t>
      </w:r>
      <w:r>
        <w:rPr>
          <w:rFonts w:ascii="Times New Roman" w:hAnsi="Times New Roman"/>
          <w:b/>
          <w:sz w:val="22"/>
          <w:szCs w:val="22"/>
          <w:lang w:val="ru-RU"/>
        </w:rPr>
      </w: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b/>
          <w:lang w:eastAsia="ru-RU"/>
        </w:rPr>
        <w:t xml:space="preserve">08</w:t>
      </w:r>
      <w:bookmarkStart w:id="2" w:name="_GoBack"/>
      <w:r/>
      <w:bookmarkEnd w:id="2"/>
      <w:r>
        <w:rPr>
          <w:rFonts w:ascii="Times New Roman" w:hAnsi="Times New Roman"/>
          <w:b/>
          <w:lang w:eastAsia="ru-RU"/>
        </w:rPr>
        <w:t xml:space="preserve">.07.</w:t>
      </w:r>
      <w:r>
        <w:rPr>
          <w:rFonts w:ascii="Times New Roman" w:hAnsi="Times New Roman"/>
          <w:b/>
          <w:lang w:eastAsia="ru-RU"/>
        </w:rPr>
        <w:t xml:space="preserve">2026 года.</w:t>
      </w: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</w:p>
    <w:p>
      <w:pPr>
        <w:contextualSpacing/>
        <w:ind w:firstLine="709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17. Сведения об особенностях участия субъектов малого и среднего предпринимательства.</w:t>
      </w: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</w:r>
    </w:p>
    <w:p>
      <w:pPr>
        <w:contextualSpacing/>
        <w:ind w:firstLine="709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Не установлено.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contextualSpacing/>
        <w:ind w:firstLine="709"/>
        <w:spacing w:after="0" w:line="240" w:lineRule="auto"/>
        <w:rPr>
          <w:rFonts w:ascii="Times New Roman" w:hAnsi="Times New Roman"/>
        </w:rPr>
      </w:pPr>
      <w:r/>
      <w:bookmarkStart w:id="3" w:name="_Toc127523724_Копия_1"/>
      <w:r/>
      <w:bookmarkStart w:id="4" w:name="_Toc119343901_Копия_1"/>
      <w:r/>
      <w:bookmarkEnd w:id="3"/>
      <w:r/>
      <w:bookmarkEnd w:id="4"/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b/>
          <w:bCs/>
          <w:color w:val="000000"/>
        </w:rPr>
        <w:t xml:space="preserve">18. Предоставление национального режима при осуществлении закупок.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18.1. При осуществлении закупок предоставляется национальный режим, обеспечивающий происходящему из иностранного государства или группы иностранных государств (далее – иностранное государство) товару, рабо</w:t>
      </w:r>
      <w:r>
        <w:rPr>
          <w:rFonts w:ascii="Times New Roman" w:hAnsi="Times New Roman"/>
          <w:color w:val="000000"/>
        </w:rPr>
        <w:t xml:space="preserve">те, услуге, соответственно выполняемой, оказываемой иностранным гражданином или иностранным юридическим лицом (далее - иностранное лицо), равные условия с товаром российского происхождения, работой, услугой, соответственно выполняемой, оказываемой российск</w:t>
      </w:r>
      <w:r>
        <w:rPr>
          <w:rFonts w:ascii="Times New Roman" w:hAnsi="Times New Roman"/>
          <w:color w:val="000000"/>
        </w:rPr>
        <w:t xml:space="preserve">им гражданином или российским юридическим лицом (далее - российское лицо), за исключением случаев принятия Правительством Российской Федерации мер, предусмотренных Законом № 223-ФЗ. Если иное не предусмотрено мерами, принятыми Правительством Российской Фед</w:t>
      </w:r>
      <w:r>
        <w:rPr>
          <w:rFonts w:ascii="Times New Roman" w:hAnsi="Times New Roman"/>
          <w:color w:val="000000"/>
        </w:rPr>
        <w:t xml:space="preserve">ерации в соответствии с Законом № 223-ФЗ, положения пункта 11.4 Положения о закупке, касающиеся товара российского происхождения, работы, услуги, соответственно выполняемой, оказываемой российским лицом, применяются также в отношении товара, происходящего </w:t>
      </w:r>
      <w:r>
        <w:rPr>
          <w:rFonts w:ascii="Times New Roman" w:hAnsi="Times New Roman"/>
          <w:color w:val="000000"/>
        </w:rPr>
        <w:t xml:space="preserve">из иностранного государства, работы, услуги, соответственно выполняемой, оказываемой иностранным лицом, которым предоставляются равные условия с товаром российского происхождения, работой, услугой, соответственно выполняемой, оказываемой российским лицом.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18.2. В соответствии с Законом № 223-ФЗ Правительство Российской Федерации: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1) вправе принимать меры, устанавливающие: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б) ограничение закупок товаров (в том числе поставляемых при </w:t>
      </w:r>
      <w:r>
        <w:rPr>
          <w:rFonts w:ascii="Times New Roman" w:hAnsi="Times New Roman"/>
          <w:color w:val="000000"/>
        </w:rPr>
        <w:t xml:space="preserve">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в том числе минимальную обязательную долю закупок товаров российского происхождения;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лицами;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2) определяет информацию и перечень документов, которые подтверждают страну происхождения товара для целей Закона № 223-ФЗ, в случае принятия мер, предусмотренных Законом № 223-ФЗ.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18.3. При осуществлении закупки товара: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1) если Правительством Российской Федерации установлен запрет закупок товаров (в том числе поставляемых при выполнении закупаемых работ, оказании закупаемых услуг), происходящих из иностранных государств, не допускаются: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а) заключение договора на поставку такого товара;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б) при исполнении договора замена такого товара на происходящий из иностранного государства товар, в отношении которого установлен данный запрет;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2) если Правительством Российской Федерации установлено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не допускаются: 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а) заключение договора на поставку товара, происходящего из иностранного государства, если поданы заявка на участие в закупке, окончательное предложение, признанные по результатам их рассмотрения соответствующими требованиям положе</w:t>
      </w:r>
      <w:r>
        <w:rPr>
          <w:rFonts w:ascii="Times New Roman" w:hAnsi="Times New Roman"/>
          <w:color w:val="000000"/>
        </w:rPr>
        <w:t xml:space="preserve">ния о закупке, извещения об осуществлении конкурентной закупки (в случае проведения конкурентной закупки), документации о конкурентной закупке (в случае проведения конкурентной закупки) и содержащие предложения о поставке товара российского происхождения;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б) при исполнении договора замена товара на происходящий из иностранного государства товар, в отношении которого установлено данное ограничение, если договор предусматривает поставку товара российского происхождения;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3) если Правительством Российской Федерации установлено преимущество в отношении товаров российского происхождения (в том числе поставляемых при выполнении закупаемых работ, оказании закупаемых услуг):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а) при рассмотрении, оценке, сопоставлении заявок на участие в закупке, окончательных предложений </w:t>
      </w:r>
      <w:r>
        <w:rPr>
          <w:rFonts w:ascii="Times New Roman" w:hAnsi="Times New Roman"/>
          <w:color w:val="000000"/>
        </w:rPr>
        <w:tab/>
        <w:t xml:space="preserve">осуществляется снижение на пятнадцать процентов ценового предложения, поданного в соответствии с Законом № 223-ФЗ и Положением о закупке участ</w:t>
      </w:r>
      <w:r>
        <w:rPr>
          <w:rFonts w:ascii="Times New Roman" w:hAnsi="Times New Roman"/>
          <w:color w:val="000000"/>
        </w:rPr>
        <w:t xml:space="preserve">ником закупки, предлагающим к поставке товар только российского происхождения, либо увеличение на пятнадцать процентов ценового предложения этого участника закупки в случае подачи им предложения о размере платы, подлежащей внесению за заключение договора;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б) в случае заключения договора с участником закупки, указанным в подпункте «а» настоящего пункта, договор заключается без учета снижения либо увеличения ценового предложения, осуществленных в соответствии с подпунктом «а» настоящего пункта;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в) при исполнении договора допускается замена товара исключительно на товар российского происхождения, если договор предусматривает поставку товара российского происхождения.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18.4. При осуществлении закупки работы, услуги: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1) если Правительством Российской Федерации установлен запрет закупок работ, услуг, соответственно выполняемых, оказываемых иностранными лицами, не допускаются: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а) заключение договора на выполнение такой работы, оказание такой услуги с подрядчиком (исполнителем), являющимся иностранным лицом;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б) перемена подрядчика (и</w:t>
      </w:r>
      <w:r>
        <w:rPr>
          <w:rFonts w:ascii="Times New Roman" w:hAnsi="Times New Roman"/>
          <w:color w:val="000000"/>
        </w:rPr>
        <w:t xml:space="preserve">сполнителя) (в случае, если эта перемена допускается гражданским законодательством), с которым заключен указанный договор, на иностранное лицо, которое зарегистрировано на территории иностранного государства, в отношении которого установлен данный запрет;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2) если Правительством Российской Федерации установлено ограничение закупок работ, услуг, соответственно выполняемых, оказываемых иностранными лицами, не допускаются: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а) заключение договора с участником закупки, являющимся иностранным лицом, если российским лицом поданы заявка на участие в закупке, окончательное предложение, признанн</w:t>
      </w:r>
      <w:r>
        <w:rPr>
          <w:rFonts w:ascii="Times New Roman" w:hAnsi="Times New Roman"/>
          <w:color w:val="000000"/>
        </w:rPr>
        <w:t xml:space="preserve">ые по результатам их рассмотрения соответствующими требованиям положения о закупке, извещения об осуществлении конкурентной закупки (в случае проведения конкурентной закупки), документации о конкурентной закупке (в случае проведения конкурентной закупки);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б) перемена подрядчика (исполнителя) (в случае, если эта переме</w:t>
      </w:r>
      <w:r>
        <w:rPr>
          <w:rFonts w:ascii="Times New Roman" w:hAnsi="Times New Roman"/>
          <w:color w:val="000000"/>
        </w:rPr>
        <w:t xml:space="preserve">на допускается гражданским законодательством), с которым заключен договор, на иностранное лицо, которое зарегистрировано на территории иностранного государства, в отношении которого установлено данное ограничение, если договор заключен с российским лицом;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3) если Правительством Российской Федерации установлено преимущество в отношении работ, услуг, соответственно выполняемых, оказываемых российскими лицами: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а) при рассмотрении, о</w:t>
      </w:r>
      <w:r>
        <w:rPr>
          <w:rFonts w:ascii="Times New Roman" w:hAnsi="Times New Roman"/>
          <w:color w:val="000000"/>
        </w:rPr>
        <w:t xml:space="preserve">ценке, сопоставлении заявок на участие в конкурентной закупке, заявок на участие в неконкурентной закупке, окончательных предложений осуществляется снижение на пятнадцать процентов ценового предложения, поданного в соответствии с Законом № 223-ФЗ и настоящ</w:t>
      </w:r>
      <w:r>
        <w:rPr>
          <w:rFonts w:ascii="Times New Roman" w:hAnsi="Times New Roman"/>
          <w:color w:val="000000"/>
        </w:rPr>
        <w:t xml:space="preserve">им Положением о закупке участником закупки, являющимся российским лицом, либо увеличение на пятнадцать процентов ценового предложения этого участника закупки в случае подачи им предложения о размере платы, подлежащей внесению за заключение с ним договора;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б) в случае заключения договора с участником закупки, указанным в подпункте «а» настоящего пункта, договор заключается без учета снижения либо увеличения ценового предложения, осуществленных в соответствии с подпунктом «а» настоящего пункта;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в) перемена подрядчика (исполнителя) (в случае, если эта перемена допускается гражданским законодательством), с которым заключен договор, допускается исключительно на российское лицо, если договор заключен с российским лицом.</w:t>
      </w:r>
      <w:r/>
    </w:p>
    <w:p>
      <w:pPr>
        <w:ind w:firstLine="709"/>
        <w:jc w:val="both"/>
        <w:spacing w:after="0" w:line="240" w:lineRule="auto"/>
      </w:pPr>
      <w:r/>
      <w:r/>
    </w:p>
    <w:p>
      <w:pPr>
        <w:pStyle w:val="1120"/>
        <w:contextualSpacing/>
        <w:ind w:firstLine="709"/>
        <w:jc w:val="both"/>
        <w:spacing w:after="200"/>
        <w:rPr>
          <w:rFonts w:ascii="Times New Roman" w:hAnsi="Times New Roman"/>
          <w:i/>
          <w:iCs/>
          <w:color w:val="000000"/>
          <w:u w:val="single"/>
          <w:lang w:eastAsia="ar-SA"/>
        </w:rPr>
      </w:pPr>
      <w:r>
        <w:rPr>
          <w:rFonts w:ascii="Times New Roman" w:hAnsi="Times New Roman"/>
          <w:i/>
          <w:iCs/>
          <w:color w:val="000000"/>
          <w:u w:val="single"/>
          <w:lang w:eastAsia="ar-SA"/>
        </w:rPr>
        <w:t xml:space="preserve">В связи с тем, что Заказчик входит в перечень организаций, указанных в а</w:t>
      </w:r>
      <w:r>
        <w:rPr>
          <w:rFonts w:ascii="Times New Roman" w:hAnsi="Times New Roman"/>
          <w:i/>
          <w:iCs/>
          <w:color w:val="000000"/>
          <w:u w:val="single"/>
          <w:lang w:eastAsia="ar-SA"/>
        </w:rPr>
        <w:t xml:space="preserve">бзаце втором подпункта "л" пункта 4 Постановления Правительства Российской Федерации от 23 декабря 2024 г. N 1875 "О мерах по предоставлению национального режима при осуществлении закупок товаров, работ, услуг для обеспечения государственных и муниципальны</w:t>
      </w:r>
      <w:r>
        <w:rPr>
          <w:rFonts w:ascii="Times New Roman" w:hAnsi="Times New Roman"/>
          <w:i/>
          <w:iCs/>
          <w:color w:val="000000"/>
          <w:u w:val="single"/>
          <w:lang w:eastAsia="ar-SA"/>
        </w:rPr>
        <w:t xml:space="preserve">х нужд, закупок товаров, работ, услуг отдельными видами юридических лиц" (далее- Постановление) на данную закупку не распространяется запрет, ограничение, преимущество, предусмотренные пунктом 1 Постановления, согласно подпункту "м" пункта 4 Постановления.</w:t>
      </w:r>
      <w:r>
        <w:rPr>
          <w:rFonts w:ascii="Times New Roman" w:hAnsi="Times New Roman"/>
          <w:i/>
          <w:iCs/>
          <w:color w:val="000000"/>
          <w:u w:val="single"/>
          <w:lang w:eastAsia="ar-SA"/>
        </w:rPr>
      </w:r>
      <w:r>
        <w:rPr>
          <w:rFonts w:ascii="Times New Roman" w:hAnsi="Times New Roman"/>
          <w:i/>
          <w:iCs/>
          <w:color w:val="000000"/>
          <w:u w:val="single"/>
          <w:lang w:eastAsia="ar-SA"/>
        </w:rPr>
      </w:r>
    </w:p>
    <w:p>
      <w:pPr>
        <w:pStyle w:val="1120"/>
        <w:contextualSpacing/>
        <w:ind w:firstLine="709"/>
        <w:jc w:val="both"/>
        <w:spacing w:after="200"/>
        <w:rPr>
          <w:rFonts w:ascii="Times New Roman" w:hAnsi="Times New Roman"/>
          <w:i/>
          <w:iCs/>
          <w:color w:val="000000"/>
          <w:u w:val="single"/>
          <w:lang w:eastAsia="ar-SA"/>
        </w:rPr>
      </w:pPr>
      <w:r>
        <w:rPr>
          <w:rFonts w:ascii="Times New Roman" w:hAnsi="Times New Roman"/>
          <w:i/>
          <w:iCs/>
          <w:color w:val="000000"/>
          <w:u w:val="single"/>
          <w:lang w:eastAsia="ar-SA"/>
        </w:rPr>
      </w:r>
      <w:r>
        <w:rPr>
          <w:rFonts w:ascii="Times New Roman" w:hAnsi="Times New Roman"/>
          <w:i/>
          <w:iCs/>
          <w:color w:val="000000"/>
          <w:u w:val="single"/>
          <w:lang w:eastAsia="ar-SA"/>
        </w:rPr>
      </w:r>
      <w:r>
        <w:rPr>
          <w:rFonts w:ascii="Times New Roman" w:hAnsi="Times New Roman"/>
          <w:i/>
          <w:iCs/>
          <w:color w:val="000000"/>
          <w:u w:val="single"/>
          <w:lang w:eastAsia="ar-SA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  <w:t xml:space="preserve">19. Требования к участникам закупки.</w:t>
      </w: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Участник процедуры закупки должен соответствовать следующим обязательным требованиям: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1)</w:t>
      </w:r>
      <w:r>
        <w:rPr>
          <w:rFonts w:ascii="Times New Roman" w:hAnsi="Times New Roman" w:eastAsia="Calibri"/>
        </w:rPr>
        <w:tab/>
        <w:t xml:space="preserve">соответствие участника закупок требованиям, устанавливаемым в соответствии с законодательством Российской Федерации к лицам, осуществляющим поставку товаров, являющихся предметом закупки;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2)</w:t>
      </w:r>
      <w:r>
        <w:rPr>
          <w:rFonts w:ascii="Times New Roman" w:hAnsi="Times New Roman" w:eastAsia="Calibri"/>
        </w:rPr>
        <w:tab/>
      </w:r>
      <w:r>
        <w:rPr>
          <w:rFonts w:ascii="Times New Roman" w:hAnsi="Times New Roman" w:eastAsia="Calibri"/>
        </w:rPr>
        <w:t xml:space="preserve">непроведение</w:t>
      </w:r>
      <w:r>
        <w:rPr>
          <w:rFonts w:ascii="Times New Roman" w:hAnsi="Times New Roman" w:eastAsia="Calibri"/>
        </w:rPr>
        <w:t xml:space="preserve"> ликвидации участника закупки (для участника – юридического лица), отсутствие решения арбитражного суда о несостоятельности (банкротства) (для участника – как юридического, так и физического лица);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3)</w:t>
      </w:r>
      <w:r>
        <w:rPr>
          <w:rFonts w:ascii="Times New Roman" w:hAnsi="Times New Roman" w:eastAsia="Calibri"/>
        </w:rPr>
        <w:tab/>
      </w:r>
      <w:r>
        <w:rPr>
          <w:rFonts w:ascii="Times New Roman" w:hAnsi="Times New Roman" w:eastAsia="Calibri"/>
        </w:rPr>
        <w:t xml:space="preserve">неприостановление</w:t>
      </w:r>
      <w:r>
        <w:rPr>
          <w:rFonts w:ascii="Times New Roman" w:hAnsi="Times New Roman" w:eastAsia="Calibri"/>
        </w:rPr>
        <w:t xml:space="preserve"> деятельности участника закупки в порядке, предусмотренном Кодексом Российской Федерации об административных правонарушениях, на день подачи заявки в целях участия в закупках;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4)</w:t>
      </w:r>
      <w:r>
        <w:rPr>
          <w:rFonts w:ascii="Times New Roman" w:hAnsi="Times New Roman" w:eastAsia="Calibri"/>
        </w:rPr>
        <w:tab/>
        <w:t xml:space="preserve">отсутствие у участника закупки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</w:t>
      </w:r>
      <w:r>
        <w:rPr>
          <w:rFonts w:ascii="Times New Roman" w:hAnsi="Times New Roman" w:eastAsia="Calibri"/>
        </w:rPr>
        <w:t xml:space="preserve">ации о налогах и сборах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</w:t>
      </w:r>
      <w:r>
        <w:rPr>
          <w:rFonts w:ascii="Times New Roman" w:hAnsi="Times New Roman" w:eastAsia="Calibri"/>
        </w:rPr>
        <w:t xml:space="preserve">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</w:t>
      </w:r>
      <w:r>
        <w:rPr>
          <w:rFonts w:ascii="Times New Roman" w:hAnsi="Times New Roman" w:eastAsia="Calibri"/>
          <w:color w:val="000000"/>
          <w:shd w:val="clear" w:color="auto" w:fill="ffffff"/>
        </w:rPr>
        <w:t xml:space="preserve">налогах и сборах) на 1 число месяца, предшествующего месяцу, в котором планируется осуществить оплату;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5)</w:t>
      </w:r>
      <w:r>
        <w:rPr>
          <w:rFonts w:ascii="Times New Roman" w:hAnsi="Times New Roman" w:eastAsia="Calibri"/>
        </w:rPr>
        <w:tab/>
        <w:t xml:space="preserve"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</w:t>
      </w:r>
      <w:r>
        <w:rPr>
          <w:rFonts w:ascii="Times New Roman" w:hAnsi="Times New Roman" w:eastAsia="Calibri"/>
        </w:rPr>
        <w:t xml:space="preserve">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</w:t>
      </w:r>
      <w:r>
        <w:rPr>
          <w:rFonts w:ascii="Times New Roman" w:hAnsi="Times New Roman" w:eastAsia="Calibri"/>
        </w:rPr>
        <w:t xml:space="preserve">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являющаяся объектом осуществляемой закупки, и административного наказания в виде дисквалификации;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6)</w:t>
      </w:r>
      <w:r>
        <w:rPr>
          <w:rFonts w:ascii="Times New Roman" w:hAnsi="Times New Roman" w:eastAsia="Calibri"/>
        </w:rPr>
        <w:tab/>
        <w:t xml:space="preserve">участник закупки - юридическое лицо, которое в течен</w:t>
      </w:r>
      <w:r>
        <w:rPr>
          <w:rFonts w:ascii="Times New Roman" w:hAnsi="Times New Roman" w:eastAsia="Calibri"/>
        </w:rPr>
        <w:t xml:space="preserve">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  <w:t xml:space="preserve">20. Требования к содержанию, форме, оформлению и составу заявки на участие в запросе котировок.</w:t>
      </w: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Заявка на участие в запросе котировок подается в форме электронного документа. 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Theme="minorHAnsi"/>
          <w:b/>
          <w:lang w:eastAsia="en-US"/>
        </w:rPr>
      </w:pPr>
      <w:r>
        <w:rPr>
          <w:rFonts w:ascii="Times New Roman" w:hAnsi="Times New Roman" w:eastAsiaTheme="minorHAnsi"/>
          <w:b/>
          <w:lang w:eastAsia="en-US"/>
        </w:rPr>
        <w:t xml:space="preserve">Заявка на участие в запросе котировок должна содержать следующие документы и информацию:</w:t>
      </w:r>
      <w:r>
        <w:rPr>
          <w:rFonts w:ascii="Times New Roman" w:hAnsi="Times New Roman" w:eastAsiaTheme="minorHAnsi"/>
          <w:b/>
          <w:lang w:eastAsia="en-US"/>
        </w:rPr>
      </w:r>
      <w:r>
        <w:rPr>
          <w:rFonts w:ascii="Times New Roman" w:hAnsi="Times New Roman" w:eastAsiaTheme="minorHAnsi"/>
          <w:b/>
          <w:lang w:eastAsia="en-US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="Calibri" w:cstheme="minorBidi"/>
          <w:b/>
          <w:u w:val="single"/>
          <w:lang w:eastAsia="ru-RU"/>
        </w:rPr>
      </w:pPr>
      <w:r>
        <w:rPr>
          <w:rFonts w:ascii="Times New Roman" w:hAnsi="Times New Roman" w:eastAsia="Calibri" w:cstheme="minorBidi"/>
          <w:b/>
          <w:lang w:eastAsia="ru-RU"/>
        </w:rPr>
        <w:t xml:space="preserve">а) </w:t>
      </w:r>
      <w:r>
        <w:rPr>
          <w:rFonts w:ascii="Times New Roman" w:hAnsi="Times New Roman" w:eastAsia="Calibri" w:cstheme="minorBidi"/>
          <w:b/>
          <w:i/>
          <w:lang w:eastAsia="ru-RU"/>
        </w:rPr>
        <w:t xml:space="preserve">Для юридических лиц</w:t>
      </w:r>
      <w:r>
        <w:rPr>
          <w:rFonts w:ascii="Times New Roman" w:hAnsi="Times New Roman" w:eastAsia="Calibri" w:cstheme="minorBidi"/>
          <w:b/>
          <w:u w:val="single"/>
          <w:lang w:eastAsia="ru-RU"/>
        </w:rPr>
      </w:r>
      <w:r>
        <w:rPr>
          <w:rFonts w:ascii="Times New Roman" w:hAnsi="Times New Roman" w:eastAsia="Calibri" w:cstheme="minorBidi"/>
          <w:b/>
          <w:u w:val="single"/>
          <w:lang w:eastAsia="ru-RU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="Calibri" w:cstheme="minorBidi"/>
          <w:lang w:eastAsia="ru-RU"/>
        </w:rPr>
      </w:pPr>
      <w:r>
        <w:rPr>
          <w:rFonts w:ascii="Times New Roman" w:hAnsi="Times New Roman" w:eastAsia="Calibri" w:cstheme="minorBidi"/>
          <w:lang w:eastAsia="ru-RU"/>
        </w:rPr>
        <w:t xml:space="preserve">1. Копия Устава;</w:t>
      </w:r>
      <w:r>
        <w:rPr>
          <w:rFonts w:ascii="Times New Roman" w:hAnsi="Times New Roman" w:eastAsia="Calibri" w:cstheme="minorBidi"/>
          <w:lang w:eastAsia="ru-RU"/>
        </w:rPr>
      </w:r>
      <w:r>
        <w:rPr>
          <w:rFonts w:ascii="Times New Roman" w:hAnsi="Times New Roman" w:eastAsia="Calibri" w:cstheme="minorBidi"/>
          <w:lang w:eastAsia="ru-RU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="Calibri" w:cstheme="minorBidi"/>
          <w:lang w:eastAsia="ru-RU"/>
        </w:rPr>
      </w:pPr>
      <w:r>
        <w:rPr>
          <w:rFonts w:ascii="Times New Roman" w:hAnsi="Times New Roman" w:eastAsia="Calibri" w:cstheme="minorBidi"/>
          <w:lang w:eastAsia="ru-RU"/>
        </w:rPr>
        <w:t xml:space="preserve">2. Копия документа, подтверждающая полномочия руководителя. В случае если от имени Участника действует иное лицо, представляется доверенность, выданная физическому лицу на осуществление от имени Участника действий по участию в закупке, з</w:t>
      </w:r>
      <w:r>
        <w:rPr>
          <w:rFonts w:ascii="Times New Roman" w:hAnsi="Times New Roman" w:eastAsia="Calibri" w:cstheme="minorBidi"/>
          <w:lang w:eastAsia="ru-RU"/>
        </w:rPr>
        <w:t xml:space="preserve">аверенная печатью (при наличии печати) и подписанная руководителем или уполномоченным им лицом. В случае если указанная доверенность подписана лицом, уполномоченным руководителем, также представляется копия документа, подтверждающего полномочия этого лица;</w:t>
      </w:r>
      <w:r>
        <w:rPr>
          <w:rFonts w:ascii="Times New Roman" w:hAnsi="Times New Roman" w:eastAsia="Calibri" w:cstheme="minorBidi"/>
          <w:lang w:eastAsia="ru-RU"/>
        </w:rPr>
      </w:r>
      <w:r>
        <w:rPr>
          <w:rFonts w:ascii="Times New Roman" w:hAnsi="Times New Roman" w:eastAsia="Calibri" w:cstheme="minorBidi"/>
          <w:lang w:eastAsia="ru-RU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="Calibri" w:cstheme="minorBidi"/>
          <w:lang w:eastAsia="ru-RU"/>
        </w:rPr>
      </w:pPr>
      <w:r>
        <w:rPr>
          <w:rFonts w:ascii="Times New Roman" w:hAnsi="Times New Roman" w:eastAsia="Calibri" w:cstheme="minorBidi"/>
          <w:lang w:eastAsia="ru-RU"/>
        </w:rPr>
        <w:t xml:space="preserve">3. </w:t>
      </w:r>
      <w:r>
        <w:rPr>
          <w:rFonts w:ascii="Times New Roman" w:hAnsi="Times New Roman" w:eastAsiaTheme="minorEastAsia" w:cstheme="minorBidi"/>
          <w:lang w:eastAsia="ru-RU"/>
        </w:rPr>
        <w:t xml:space="preserve">Д</w:t>
      </w:r>
      <w:r>
        <w:rPr>
          <w:rFonts w:ascii="Times New Roman" w:hAnsi="Times New Roman" w:eastAsiaTheme="minorEastAsia"/>
          <w:lang w:eastAsia="ru-RU"/>
        </w:rPr>
        <w:t xml:space="preserve">окументы или копии документов, подтверждающих соответствие участника </w:t>
      </w:r>
      <w:r>
        <w:rPr>
          <w:rFonts w:ascii="Times New Roman" w:hAnsi="Times New Roman" w:eastAsiaTheme="minorEastAsia" w:cstheme="minorBidi"/>
          <w:lang w:eastAsia="ru-RU"/>
        </w:rPr>
        <w:t xml:space="preserve">запроса котировок</w:t>
      </w:r>
      <w:r>
        <w:rPr>
          <w:rFonts w:ascii="Times New Roman" w:hAnsi="Times New Roman" w:eastAsiaTheme="minorEastAsia"/>
          <w:lang w:eastAsia="ru-RU"/>
        </w:rPr>
        <w:t xml:space="preserve"> требованиям, установленным пунктом 19 настоящего Извещения;</w:t>
      </w:r>
      <w:r>
        <w:rPr>
          <w:rFonts w:ascii="Times New Roman" w:hAnsi="Times New Roman" w:eastAsia="Calibri" w:cstheme="minorBidi"/>
          <w:lang w:eastAsia="ru-RU"/>
        </w:rPr>
      </w:r>
      <w:r>
        <w:rPr>
          <w:rFonts w:ascii="Times New Roman" w:hAnsi="Times New Roman" w:eastAsia="Calibri" w:cstheme="minorBidi"/>
          <w:lang w:eastAsia="ru-RU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="Calibri" w:cstheme="minorBidi"/>
          <w:lang w:eastAsia="ru-RU"/>
        </w:rPr>
      </w:pPr>
      <w:r>
        <w:rPr>
          <w:rFonts w:ascii="Times New Roman" w:hAnsi="Times New Roman" w:eastAsiaTheme="minorEastAsia" w:cstheme="minorBidi"/>
          <w:lang w:eastAsia="ru-RU"/>
        </w:rPr>
        <w:t xml:space="preserve">4. </w:t>
      </w:r>
      <w:r>
        <w:rPr>
          <w:rFonts w:ascii="Times New Roman" w:hAnsi="Times New Roman" w:eastAsiaTheme="minorEastAsia"/>
          <w:lang w:eastAsia="ru-RU"/>
        </w:rPr>
        <w:t xml:space="preserve">Полученная не ранее чем за шесть месяцев (а в случае если в государственный реестр был</w:t>
      </w:r>
      <w:r>
        <w:rPr>
          <w:rFonts w:ascii="Times New Roman" w:hAnsi="Times New Roman" w:eastAsiaTheme="minorEastAsia"/>
          <w:lang w:eastAsia="ru-RU"/>
        </w:rPr>
        <w:t xml:space="preserve">и внесены изменения, то не ранее внесения таких изменений в соответствующий реестр) до дня размещения в ЕИС извещения о проведении запроса котировок выписка из единого государственного реестра юридических лиц, надлежащим образом заверенный перевод на русск</w:t>
      </w:r>
      <w:r>
        <w:rPr>
          <w:rFonts w:ascii="Times New Roman" w:hAnsi="Times New Roman" w:eastAsiaTheme="minorEastAsia"/>
          <w:lang w:eastAsia="ru-RU"/>
        </w:rPr>
        <w:t xml:space="preserve">ий язык документов о государственной регистрации юридического лица в соответствии с законодательством соответствующего государства (для иностранного лица), полученные не ранее чем за шесть месяцев до дня размещения извещения о проведении запроса котировок;</w:t>
      </w:r>
      <w:r>
        <w:rPr>
          <w:rFonts w:ascii="Times New Roman" w:hAnsi="Times New Roman" w:eastAsia="Calibri" w:cstheme="minorBidi"/>
          <w:lang w:eastAsia="ru-RU"/>
        </w:rPr>
      </w:r>
      <w:r>
        <w:rPr>
          <w:rFonts w:ascii="Times New Roman" w:hAnsi="Times New Roman" w:eastAsia="Calibri" w:cstheme="minorBidi"/>
          <w:lang w:eastAsia="ru-RU"/>
        </w:rPr>
      </w:r>
    </w:p>
    <w:p>
      <w:pPr>
        <w:contextualSpacing/>
        <w:ind w:firstLine="567"/>
        <w:jc w:val="both"/>
        <w:spacing w:after="0" w:line="240" w:lineRule="auto"/>
        <w:rPr>
          <w:rFonts w:ascii="Times New Roman" w:hAnsi="Times New Roman" w:eastAsiaTheme="minorEastAsia" w:cstheme="minorBidi"/>
          <w:lang w:eastAsia="ru-RU"/>
        </w:rPr>
      </w:pPr>
      <w:r>
        <w:rPr>
          <w:rFonts w:ascii="Times New Roman" w:hAnsi="Times New Roman" w:eastAsiaTheme="minorEastAsia" w:cstheme="minorBidi"/>
          <w:lang w:eastAsia="ru-RU"/>
        </w:rPr>
        <w:t xml:space="preserve">5. К</w:t>
      </w:r>
      <w:r>
        <w:rPr>
          <w:rFonts w:ascii="Times New Roman" w:hAnsi="Times New Roman" w:eastAsiaTheme="minorEastAsia"/>
          <w:lang w:eastAsia="ru-RU"/>
        </w:rPr>
        <w:t xml:space="preserve">опия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уча</w:t>
      </w:r>
      <w:r>
        <w:rPr>
          <w:rFonts w:ascii="Times New Roman" w:hAnsi="Times New Roman" w:eastAsiaTheme="minorEastAsia" w:cstheme="minorBidi"/>
          <w:lang w:eastAsia="ru-RU"/>
        </w:rPr>
        <w:t xml:space="preserve">стника </w:t>
      </w:r>
      <w:r>
        <w:rPr>
          <w:rFonts w:ascii="Times New Roman" w:hAnsi="Times New Roman" w:eastAsiaTheme="minorEastAsia"/>
          <w:lang w:eastAsia="ru-RU"/>
        </w:rPr>
        <w:t xml:space="preserve">закупки заключение договора или предоставление обеспечения заявки, обеспечения договора являются крупной сделкой, либо письмо о том, что данная сделка для такого участника не является крупной;</w:t>
      </w:r>
      <w:r>
        <w:rPr>
          <w:rFonts w:ascii="Times New Roman" w:hAnsi="Times New Roman" w:eastAsiaTheme="minorEastAsia" w:cstheme="minorBidi"/>
          <w:lang w:eastAsia="ru-RU"/>
        </w:rPr>
      </w:r>
      <w:r>
        <w:rPr>
          <w:rFonts w:ascii="Times New Roman" w:hAnsi="Times New Roman" w:eastAsiaTheme="minorEastAsia" w:cstheme="minorBidi"/>
          <w:lang w:eastAsia="ru-RU"/>
        </w:rPr>
      </w:r>
    </w:p>
    <w:p>
      <w:pPr>
        <w:contextualSpacing/>
        <w:ind w:firstLine="567"/>
        <w:jc w:val="both"/>
        <w:spacing w:after="0" w:line="240" w:lineRule="auto"/>
        <w:rPr>
          <w:rFonts w:ascii="Times New Roman" w:hAnsi="Times New Roman" w:eastAsiaTheme="minorEastAsia"/>
          <w:lang w:eastAsia="ru-RU"/>
        </w:rPr>
      </w:pPr>
      <w:r>
        <w:rPr>
          <w:rFonts w:ascii="Times New Roman" w:hAnsi="Times New Roman" w:eastAsiaTheme="minorEastAsia"/>
          <w:lang w:eastAsia="ru-RU"/>
        </w:rPr>
        <w:t xml:space="preserve">6. </w:t>
      </w:r>
      <w:r>
        <w:rPr>
          <w:rFonts w:ascii="Times New Roman" w:hAnsi="Times New Roman" w:eastAsiaTheme="minorEastAsia"/>
          <w:b/>
          <w:lang w:eastAsia="ru-RU"/>
        </w:rPr>
        <w:t xml:space="preserve">при поставке товара:</w:t>
      </w:r>
      <w:r>
        <w:rPr>
          <w:rFonts w:ascii="Times New Roman" w:hAnsi="Times New Roman" w:eastAsiaTheme="minorEastAsia"/>
          <w:lang w:eastAsia="ru-RU"/>
        </w:rPr>
        <w:t xml:space="preserve"> конкретные показатели тов</w:t>
      </w:r>
      <w:r>
        <w:rPr>
          <w:rFonts w:ascii="Times New Roman" w:hAnsi="Times New Roman" w:eastAsiaTheme="minorEastAsia"/>
          <w:lang w:eastAsia="ru-RU"/>
        </w:rPr>
        <w:t xml:space="preserve">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соответствующих значениям, установленным в настоящем извещении, и указание на товарный знак (при наличии);</w:t>
      </w:r>
      <w:r>
        <w:rPr>
          <w:rFonts w:ascii="Times New Roman" w:hAnsi="Times New Roman" w:eastAsiaTheme="minorEastAsia"/>
          <w:lang w:eastAsia="ru-RU"/>
        </w:rPr>
      </w:r>
      <w:r>
        <w:rPr>
          <w:rFonts w:ascii="Times New Roman" w:hAnsi="Times New Roman" w:eastAsiaTheme="minorEastAsia"/>
          <w:lang w:eastAsia="ru-RU"/>
        </w:rPr>
      </w:r>
    </w:p>
    <w:p>
      <w:pPr>
        <w:contextualSpacing/>
        <w:ind w:firstLine="567"/>
        <w:jc w:val="both"/>
        <w:spacing w:after="0" w:line="240" w:lineRule="auto"/>
        <w:rPr>
          <w:rFonts w:eastAsiaTheme="minorEastAsia"/>
        </w:rPr>
      </w:pPr>
      <w:r>
        <w:rPr>
          <w:rFonts w:ascii="Times New Roman" w:hAnsi="Times New Roman" w:eastAsiaTheme="minorEastAsia"/>
          <w:lang w:eastAsia="ru-RU"/>
        </w:rPr>
        <w:t xml:space="preserve">7. Наименование страны происхождения поставляемого товара, информация и документы, определенные в соответствии с пунктом 2 части 2 статьи 3.1-4 Закона № 223-ФЗ;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contextualSpacing/>
        <w:ind w:firstLine="567"/>
        <w:jc w:val="both"/>
        <w:spacing w:after="0" w:line="240" w:lineRule="auto"/>
        <w:rPr>
          <w:rFonts w:ascii="Times New Roman" w:hAnsi="Times New Roman" w:eastAsiaTheme="minorEastAsia"/>
          <w:lang w:eastAsia="ru-RU"/>
        </w:rPr>
      </w:pPr>
      <w:r>
        <w:rPr>
          <w:rFonts w:ascii="Times New Roman" w:hAnsi="Times New Roman" w:eastAsiaTheme="minorEastAsia"/>
          <w:lang w:eastAsia="ru-RU"/>
        </w:rPr>
        <w:t xml:space="preserve">8. Предложение о цене договора, в т</w:t>
      </w:r>
      <w:r>
        <w:rPr>
          <w:rFonts w:ascii="Times New Roman" w:hAnsi="Times New Roman" w:eastAsiaTheme="minorEastAsia"/>
          <w:lang w:eastAsia="ru-RU"/>
        </w:rPr>
        <w:t xml:space="preserve">ом числе, о цене единицы товара.</w:t>
      </w:r>
      <w:r>
        <w:rPr>
          <w:rFonts w:ascii="Times New Roman" w:hAnsi="Times New Roman" w:eastAsiaTheme="minorEastAsia"/>
          <w:lang w:eastAsia="ru-RU"/>
        </w:rPr>
      </w:r>
      <w:r>
        <w:rPr>
          <w:rFonts w:ascii="Times New Roman" w:hAnsi="Times New Roman" w:eastAsiaTheme="minorEastAsia"/>
          <w:lang w:eastAsia="ru-RU"/>
        </w:rPr>
      </w:r>
    </w:p>
    <w:p>
      <w:pPr>
        <w:contextualSpacing/>
        <w:ind w:firstLine="567"/>
        <w:jc w:val="both"/>
        <w:spacing w:after="0" w:line="240" w:lineRule="auto"/>
        <w:rPr>
          <w:rFonts w:ascii="Times New Roman" w:hAnsi="Times New Roman" w:eastAsiaTheme="minorEastAsia"/>
          <w:b/>
          <w:lang w:eastAsia="ru-RU"/>
        </w:rPr>
      </w:pPr>
      <w:r>
        <w:rPr>
          <w:rFonts w:ascii="Times New Roman" w:hAnsi="Times New Roman" w:eastAsiaTheme="minorEastAsia"/>
          <w:b/>
          <w:lang w:eastAsia="ru-RU"/>
        </w:rPr>
        <w:t xml:space="preserve">б) Для физических лиц (в том числе индивидуальных предпринимателей)</w:t>
      </w:r>
      <w:r>
        <w:rPr>
          <w:rFonts w:ascii="Times New Roman" w:hAnsi="Times New Roman" w:eastAsiaTheme="minorEastAsia"/>
          <w:b/>
          <w:lang w:eastAsia="ru-RU"/>
        </w:rPr>
      </w:r>
      <w:r>
        <w:rPr>
          <w:rFonts w:ascii="Times New Roman" w:hAnsi="Times New Roman" w:eastAsiaTheme="minorEastAsia"/>
          <w:b/>
          <w:lang w:eastAsia="ru-RU"/>
        </w:rPr>
      </w:r>
    </w:p>
    <w:p>
      <w:pPr>
        <w:contextualSpacing/>
        <w:ind w:firstLine="567"/>
        <w:jc w:val="both"/>
        <w:spacing w:after="0" w:line="240" w:lineRule="auto"/>
        <w:rPr>
          <w:rFonts w:ascii="Times New Roman" w:hAnsi="Times New Roman" w:eastAsiaTheme="minorEastAsia"/>
          <w:lang w:eastAsia="ru-RU"/>
        </w:rPr>
      </w:pPr>
      <w:r>
        <w:rPr>
          <w:rFonts w:ascii="Times New Roman" w:hAnsi="Times New Roman" w:eastAsiaTheme="minorEastAsia"/>
          <w:lang w:eastAsia="ru-RU"/>
        </w:rPr>
        <w:t xml:space="preserve">1. Копия паспорта (с обязательным указанием регистрации по месту жительства);</w:t>
      </w:r>
      <w:r>
        <w:rPr>
          <w:rFonts w:ascii="Times New Roman" w:hAnsi="Times New Roman" w:eastAsiaTheme="minorEastAsia"/>
          <w:lang w:eastAsia="ru-RU"/>
        </w:rPr>
      </w:r>
      <w:r>
        <w:rPr>
          <w:rFonts w:ascii="Times New Roman" w:hAnsi="Times New Roman" w:eastAsiaTheme="minorEastAsia"/>
          <w:lang w:eastAsia="ru-RU"/>
        </w:rPr>
      </w:r>
    </w:p>
    <w:p>
      <w:pPr>
        <w:contextualSpacing/>
        <w:ind w:firstLine="567"/>
        <w:jc w:val="both"/>
        <w:spacing w:after="0" w:line="240" w:lineRule="auto"/>
        <w:rPr>
          <w:rFonts w:ascii="Times New Roman" w:hAnsi="Times New Roman" w:eastAsiaTheme="minorEastAsia"/>
          <w:lang w:eastAsia="ru-RU"/>
        </w:rPr>
      </w:pPr>
      <w:r>
        <w:rPr>
          <w:rFonts w:ascii="Times New Roman" w:hAnsi="Times New Roman" w:eastAsiaTheme="minorEastAsia"/>
          <w:lang w:eastAsia="ru-RU"/>
        </w:rPr>
        <w:t xml:space="preserve">2. Полученная не ранее чем за шесть месяцев (а в случае если в государственный реестр были внесены изменения, то не ранее внесения таких изменений в соответствую</w:t>
      </w:r>
      <w:r>
        <w:rPr>
          <w:rFonts w:ascii="Times New Roman" w:hAnsi="Times New Roman" w:eastAsiaTheme="minorEastAsia"/>
          <w:lang w:eastAsia="ru-RU"/>
        </w:rPr>
        <w:t xml:space="preserve">щий реестр) до дня размещения в ЕИС извещения о проведении запроса котировок выписка из единого государственного реестра индивидуальных предпринимателей (для индивидуального предпринимателя) или нотариально заверенную копию такой выписки, копию документа, </w:t>
      </w:r>
      <w:r>
        <w:rPr>
          <w:rFonts w:ascii="Times New Roman" w:hAnsi="Times New Roman" w:eastAsiaTheme="minorEastAsia"/>
          <w:lang w:eastAsia="ru-RU"/>
        </w:rPr>
        <w:t xml:space="preserve">удостоверяющего личность (для физического лица), надлежащим образом заверенный перевод на русский язык документов о государственной регис</w:t>
      </w:r>
      <w:r>
        <w:rPr>
          <w:rFonts w:ascii="Times New Roman" w:hAnsi="Times New Roman" w:eastAsiaTheme="minorEastAsia"/>
          <w:lang w:eastAsia="ru-RU"/>
        </w:rPr>
        <w:t xml:space="preserve">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лица), полученные не ранее чем за шесть месяцев до дня размещения извещения о проведении запроса котировок;</w:t>
      </w:r>
      <w:r>
        <w:rPr>
          <w:rFonts w:ascii="Times New Roman" w:hAnsi="Times New Roman" w:eastAsiaTheme="minorEastAsia"/>
          <w:lang w:eastAsia="ru-RU"/>
        </w:rPr>
      </w:r>
      <w:r>
        <w:rPr>
          <w:rFonts w:ascii="Times New Roman" w:hAnsi="Times New Roman" w:eastAsiaTheme="minorEastAsia"/>
          <w:lang w:eastAsia="ru-RU"/>
        </w:rPr>
      </w:r>
    </w:p>
    <w:p>
      <w:pPr>
        <w:contextualSpacing/>
        <w:ind w:firstLine="567"/>
        <w:jc w:val="both"/>
        <w:spacing w:after="0" w:line="240" w:lineRule="auto"/>
        <w:rPr>
          <w:rFonts w:ascii="Times New Roman" w:hAnsi="Times New Roman" w:eastAsia="Calibri" w:cstheme="minorBidi"/>
          <w:lang w:eastAsia="ru-RU"/>
        </w:rPr>
      </w:pPr>
      <w:r>
        <w:rPr>
          <w:rFonts w:ascii="Times New Roman" w:hAnsi="Times New Roman" w:eastAsiaTheme="minorEastAsia"/>
          <w:lang w:eastAsia="ru-RU"/>
        </w:rPr>
        <w:t xml:space="preserve">3. В случае если от имени Участника действует иное лицо, представляется доверенность, выданная физическому лицу на осуществлени</w:t>
      </w:r>
      <w:r>
        <w:rPr>
          <w:rFonts w:ascii="Times New Roman" w:hAnsi="Times New Roman" w:eastAsia="Calibri" w:cstheme="minorBidi"/>
          <w:lang w:eastAsia="ru-RU"/>
        </w:rPr>
        <w:t xml:space="preserve">е от имени Участника действий по участию в запросе котировок, з</w:t>
      </w:r>
      <w:r>
        <w:rPr>
          <w:rFonts w:ascii="Times New Roman" w:hAnsi="Times New Roman" w:eastAsia="Calibri" w:cstheme="minorBidi"/>
          <w:lang w:eastAsia="ru-RU"/>
        </w:rPr>
        <w:t xml:space="preserve">аверенная печатью (при наличии печати) и подписанная руководителем или уполномоченным им лицом. В случае если указанная доверенность подписана лицом, уполномоченным руководителем, также представляется копия документа, подтверждающего полномочия этого лица.</w:t>
      </w:r>
      <w:r>
        <w:rPr>
          <w:rFonts w:ascii="Times New Roman" w:hAnsi="Times New Roman" w:eastAsia="Calibri" w:cstheme="minorBidi"/>
          <w:lang w:eastAsia="ru-RU"/>
        </w:rPr>
      </w:r>
      <w:r>
        <w:rPr>
          <w:rFonts w:ascii="Times New Roman" w:hAnsi="Times New Roman" w:eastAsia="Calibri" w:cstheme="minorBidi"/>
          <w:lang w:eastAsia="ru-RU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Theme="minorEastAsia" w:cstheme="minorBidi"/>
          <w:lang w:eastAsia="ru-RU"/>
        </w:rPr>
      </w:pPr>
      <w:r>
        <w:rPr>
          <w:rFonts w:ascii="Times New Roman" w:hAnsi="Times New Roman" w:eastAsia="Calibri" w:cstheme="minorBidi"/>
          <w:lang w:eastAsia="ru-RU"/>
        </w:rPr>
        <w:t xml:space="preserve">4. Д</w:t>
      </w:r>
      <w:r>
        <w:rPr>
          <w:rFonts w:ascii="Times New Roman" w:hAnsi="Times New Roman" w:eastAsiaTheme="minorEastAsia"/>
          <w:lang w:eastAsia="ru-RU"/>
        </w:rPr>
        <w:t xml:space="preserve">окументы или копии документов, подтверждающих соответствие участника </w:t>
      </w:r>
      <w:r>
        <w:rPr>
          <w:rFonts w:ascii="Times New Roman" w:hAnsi="Times New Roman" w:eastAsiaTheme="minorEastAsia" w:cstheme="minorBidi"/>
          <w:lang w:eastAsia="ru-RU"/>
        </w:rPr>
        <w:t xml:space="preserve">запроса котировок</w:t>
      </w:r>
      <w:r>
        <w:rPr>
          <w:rFonts w:ascii="Times New Roman" w:hAnsi="Times New Roman" w:eastAsiaTheme="minorEastAsia"/>
          <w:lang w:eastAsia="ru-RU"/>
        </w:rPr>
        <w:t xml:space="preserve"> требованиям, установленным пунктом 19 настоящего Извещения;</w:t>
      </w:r>
      <w:r>
        <w:rPr>
          <w:rFonts w:ascii="Times New Roman" w:hAnsi="Times New Roman" w:eastAsiaTheme="minorEastAsia" w:cstheme="minorBidi"/>
          <w:lang w:eastAsia="ru-RU"/>
        </w:rPr>
      </w:r>
      <w:r>
        <w:rPr>
          <w:rFonts w:ascii="Times New Roman" w:hAnsi="Times New Roman" w:eastAsiaTheme="minorEastAsia" w:cstheme="minorBidi"/>
          <w:lang w:eastAsia="ru-RU"/>
        </w:rPr>
      </w:r>
    </w:p>
    <w:p>
      <w:pPr>
        <w:ind w:firstLine="567"/>
        <w:jc w:val="both"/>
        <w:spacing w:after="0" w:line="240" w:lineRule="auto"/>
        <w:shd w:val="clear" w:color="auto" w:fill="ffffff"/>
        <w:rPr>
          <w:rFonts w:ascii="Times New Roman" w:hAnsi="Times New Roman" w:eastAsiaTheme="minorEastAsia"/>
          <w:lang w:eastAsia="ru-RU"/>
        </w:rPr>
      </w:pPr>
      <w:r>
        <w:rPr>
          <w:rFonts w:ascii="Times New Roman" w:hAnsi="Times New Roman" w:eastAsiaTheme="minorEastAsia" w:cstheme="minorBidi"/>
          <w:lang w:eastAsia="ru-RU"/>
        </w:rPr>
        <w:t xml:space="preserve">5. </w:t>
      </w:r>
      <w:r>
        <w:rPr>
          <w:rFonts w:ascii="Times New Roman" w:hAnsi="Times New Roman" w:eastAsiaTheme="minorEastAsia"/>
          <w:b/>
          <w:lang w:eastAsia="ru-RU"/>
        </w:rPr>
        <w:t xml:space="preserve">при поставке товара:</w:t>
      </w:r>
      <w:r>
        <w:rPr>
          <w:rFonts w:ascii="Times New Roman" w:hAnsi="Times New Roman" w:eastAsiaTheme="minorEastAsia"/>
          <w:lang w:eastAsia="ru-RU"/>
        </w:rPr>
        <w:t xml:space="preserve"> конкретные показатели товара, который</w:t>
      </w:r>
      <w:r>
        <w:rPr>
          <w:rFonts w:ascii="Times New Roman" w:hAnsi="Times New Roman" w:eastAsiaTheme="minorEastAsia"/>
          <w:lang w:eastAsia="ru-RU"/>
        </w:rPr>
        <w:t xml:space="preserve"> является предметом закупки, его функциональных характеристик (потребительских свойств), его количественных и качественных характеристик, соответствующих значениям, установленным в извещении (Техническом задании), и указание на товарный знак (при наличии);</w:t>
      </w:r>
      <w:r>
        <w:rPr>
          <w:rFonts w:ascii="Times New Roman" w:hAnsi="Times New Roman" w:eastAsiaTheme="minorEastAsia"/>
          <w:lang w:eastAsia="ru-RU"/>
        </w:rPr>
      </w:r>
      <w:r>
        <w:rPr>
          <w:rFonts w:ascii="Times New Roman" w:hAnsi="Times New Roman" w:eastAsiaTheme="minorEastAsia"/>
          <w:lang w:eastAsia="ru-RU"/>
        </w:rPr>
      </w:r>
    </w:p>
    <w:p>
      <w:pPr>
        <w:ind w:firstLine="567"/>
        <w:jc w:val="both"/>
        <w:spacing w:after="0" w:line="240" w:lineRule="auto"/>
        <w:shd w:val="clear" w:color="auto" w:fill="ffffff"/>
        <w:rPr>
          <w:rFonts w:eastAsiaTheme="minorEastAsia"/>
        </w:rPr>
      </w:pPr>
      <w:r>
        <w:rPr>
          <w:rFonts w:ascii="Times New Roman" w:hAnsi="Times New Roman" w:eastAsiaTheme="minorEastAsia"/>
          <w:lang w:eastAsia="ru-RU"/>
        </w:rPr>
        <w:t xml:space="preserve">6. Наименование страны происхождения поставляемого товара, информация и документы, определенные в соответствии с пунктом 2 части 2 статьи 3.1-4 Закона № 223-ФЗ;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ind w:firstLine="567"/>
        <w:jc w:val="both"/>
        <w:spacing w:after="0" w:line="240" w:lineRule="auto"/>
        <w:shd w:val="clear" w:color="auto" w:fill="ffffff"/>
        <w:rPr>
          <w:rFonts w:ascii="Times New Roman" w:hAnsi="Times New Roman" w:eastAsiaTheme="minorEastAsia"/>
          <w:highlight w:val="yellow"/>
          <w:lang w:eastAsia="ru-RU"/>
        </w:rPr>
      </w:pPr>
      <w:r>
        <w:rPr>
          <w:rFonts w:ascii="Times New Roman" w:hAnsi="Times New Roman" w:eastAsiaTheme="minorEastAsia" w:cstheme="minorBidi"/>
          <w:lang w:eastAsia="ru-RU"/>
        </w:rPr>
        <w:t xml:space="preserve">7.</w:t>
      </w:r>
      <w:r>
        <w:rPr>
          <w:rFonts w:ascii="Times New Roman" w:hAnsi="Times New Roman" w:eastAsiaTheme="minorEastAsia"/>
          <w:lang w:eastAsia="ru-RU"/>
        </w:rPr>
        <w:t xml:space="preserve"> предложение о цене договора, в т</w:t>
      </w:r>
      <w:r>
        <w:rPr>
          <w:rFonts w:ascii="Times New Roman" w:hAnsi="Times New Roman" w:eastAsiaTheme="minorEastAsia"/>
          <w:lang w:eastAsia="ru-RU"/>
        </w:rPr>
        <w:t xml:space="preserve">ом числе, о цене единицы товара.</w:t>
      </w:r>
      <w:r>
        <w:rPr>
          <w:rFonts w:ascii="Times New Roman" w:hAnsi="Times New Roman" w:eastAsiaTheme="minorEastAsia"/>
          <w:highlight w:val="yellow"/>
          <w:lang w:eastAsia="ru-RU"/>
        </w:rPr>
      </w:r>
      <w:r>
        <w:rPr>
          <w:rFonts w:ascii="Times New Roman" w:hAnsi="Times New Roman" w:eastAsiaTheme="minorEastAsia"/>
          <w:highlight w:val="yellow"/>
          <w:lang w:eastAsia="ru-RU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Theme="minorEastAsia"/>
          <w:lang w:eastAsia="ru-RU"/>
        </w:rPr>
      </w:pPr>
      <w:r>
        <w:rPr>
          <w:rFonts w:ascii="Times New Roman" w:hAnsi="Times New Roman" w:eastAsiaTheme="minorEastAsia"/>
          <w:lang w:eastAsia="ru-RU"/>
        </w:rPr>
        <w:t xml:space="preserve">Учредительные и иные документы, подаваемые участником конкурентной закупки в составе заявки, должны быть актуальными на дату размещения извещения о проведении запроса котировок. Предста</w:t>
      </w:r>
      <w:r>
        <w:rPr>
          <w:rFonts w:ascii="Times New Roman" w:hAnsi="Times New Roman" w:eastAsiaTheme="minorEastAsia"/>
          <w:lang w:eastAsia="ru-RU"/>
        </w:rPr>
        <w:t xml:space="preserve">вление недействующих или несоответствующих действительности документов в составе заявки на участие в запросе котировок расценивается как непредставление документов или представление недостоверных сведений в заявке и может служить основанием для отклонения.</w:t>
      </w:r>
      <w:r>
        <w:rPr>
          <w:rFonts w:ascii="Times New Roman" w:hAnsi="Times New Roman" w:eastAsiaTheme="minorEastAsia"/>
          <w:lang w:eastAsia="ru-RU"/>
        </w:rPr>
      </w:r>
      <w:r>
        <w:rPr>
          <w:rFonts w:ascii="Times New Roman" w:hAnsi="Times New Roman" w:eastAsiaTheme="minorEastAsia"/>
          <w:lang w:eastAsia="ru-RU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Theme="minorEastAsia"/>
          <w:lang w:eastAsia="ru-RU"/>
        </w:rPr>
      </w:pPr>
      <w:r>
        <w:rPr>
          <w:rFonts w:ascii="Times New Roman" w:hAnsi="Times New Roman" w:eastAsiaTheme="minorEastAsia"/>
          <w:lang w:eastAsia="ru-RU"/>
        </w:rPr>
        <w:t xml:space="preserve">Заявка на участие в запросе котировок может содержать эскиз, рисунок, чертеж, фотографию, иное изображение товара, на поставку которого осуществляется закупка.</w:t>
      </w:r>
      <w:r>
        <w:rPr>
          <w:rFonts w:ascii="Times New Roman" w:hAnsi="Times New Roman" w:eastAsiaTheme="minorEastAsia"/>
          <w:lang w:eastAsia="ru-RU"/>
        </w:rPr>
      </w:r>
      <w:r>
        <w:rPr>
          <w:rFonts w:ascii="Times New Roman" w:hAnsi="Times New Roman" w:eastAsiaTheme="minorEastAsia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  <w:t xml:space="preserve">21. Основания для отклонения заявок участников закупки</w:t>
      </w: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szCs w:val="24"/>
          <w:lang w:val="tt-RU" w:eastAsia="en-US"/>
        </w:rPr>
      </w:pPr>
      <w:r>
        <w:rPr>
          <w:rFonts w:ascii="Times New Roman" w:hAnsi="Times New Roman" w:eastAsia="Calibri"/>
          <w:szCs w:val="24"/>
          <w:lang w:eastAsia="en-US"/>
        </w:rPr>
        <w:t xml:space="preserve">Комиссия принимает решение об отказе в допуске к участию в закупке в отношении участника закупки или об отказе от заключения договора с участником закупки в следующих случаях:</w:t>
      </w:r>
      <w:r>
        <w:rPr>
          <w:rFonts w:ascii="Times New Roman" w:hAnsi="Times New Roman" w:eastAsia="Calibri"/>
          <w:szCs w:val="24"/>
          <w:lang w:val="tt-RU" w:eastAsia="en-US"/>
        </w:rPr>
      </w:r>
      <w:r>
        <w:rPr>
          <w:rFonts w:ascii="Times New Roman" w:hAnsi="Times New Roman" w:eastAsia="Calibri"/>
          <w:szCs w:val="24"/>
          <w:lang w:val="tt-RU" w:eastAsia="en-US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szCs w:val="24"/>
          <w:lang w:eastAsia="en-US"/>
        </w:rPr>
      </w:pPr>
      <w:r>
        <w:rPr>
          <w:rFonts w:ascii="Times New Roman" w:hAnsi="Times New Roman" w:eastAsia="Calibri"/>
          <w:szCs w:val="24"/>
          <w:lang w:eastAsia="en-US"/>
        </w:rPr>
        <w:t xml:space="preserve">1) участник закупки и (или) его заявка не соответствуют требованиям, предусмотренным извещением о проведении запроса котировок в соответствии с Положением;</w:t>
      </w:r>
      <w:r>
        <w:rPr>
          <w:rFonts w:ascii="Times New Roman" w:hAnsi="Times New Roman" w:eastAsia="Calibri"/>
          <w:szCs w:val="24"/>
          <w:lang w:eastAsia="en-US"/>
        </w:rPr>
      </w:r>
      <w:r>
        <w:rPr>
          <w:rFonts w:ascii="Times New Roman" w:hAnsi="Times New Roman" w:eastAsia="Calibri"/>
          <w:szCs w:val="24"/>
          <w:lang w:eastAsia="en-US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szCs w:val="24"/>
          <w:lang w:eastAsia="en-US"/>
        </w:rPr>
      </w:pPr>
      <w:r>
        <w:rPr>
          <w:rFonts w:ascii="Times New Roman" w:hAnsi="Times New Roman" w:eastAsia="Calibri"/>
          <w:szCs w:val="24"/>
          <w:lang w:eastAsia="en-US"/>
        </w:rPr>
        <w:t xml:space="preserve">2) участник закупки не предоставил сведения и документы в составе заявки в соответствии с требованиями, установленными извещением о проведении закупки;</w:t>
      </w:r>
      <w:r>
        <w:rPr>
          <w:rFonts w:ascii="Times New Roman" w:hAnsi="Times New Roman" w:eastAsia="Calibri"/>
          <w:szCs w:val="24"/>
          <w:lang w:eastAsia="en-US"/>
        </w:rPr>
      </w:r>
      <w:r>
        <w:rPr>
          <w:rFonts w:ascii="Times New Roman" w:hAnsi="Times New Roman" w:eastAsia="Calibri"/>
          <w:szCs w:val="24"/>
          <w:lang w:eastAsia="en-US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szCs w:val="24"/>
          <w:lang w:eastAsia="en-US"/>
        </w:rPr>
      </w:pPr>
      <w:r>
        <w:rPr>
          <w:rFonts w:ascii="Times New Roman" w:hAnsi="Times New Roman" w:eastAsia="Calibri"/>
          <w:szCs w:val="24"/>
          <w:lang w:eastAsia="en-US"/>
        </w:rPr>
        <w:t xml:space="preserve">3) в представленных документах или в заявке указаны недостоверные сведения об участнике закупки и (или) о товарах (работах, услугах);</w:t>
      </w:r>
      <w:r>
        <w:rPr>
          <w:rFonts w:ascii="Times New Roman" w:hAnsi="Times New Roman" w:eastAsia="Calibri"/>
          <w:szCs w:val="24"/>
          <w:lang w:eastAsia="en-US"/>
        </w:rPr>
      </w:r>
      <w:r>
        <w:rPr>
          <w:rFonts w:ascii="Times New Roman" w:hAnsi="Times New Roman" w:eastAsia="Calibri"/>
          <w:szCs w:val="24"/>
          <w:lang w:eastAsia="en-US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szCs w:val="24"/>
          <w:lang w:val="tt-RU" w:eastAsia="en-US"/>
        </w:rPr>
      </w:pPr>
      <w:r>
        <w:rPr>
          <w:rFonts w:ascii="Times New Roman" w:hAnsi="Times New Roman" w:eastAsia="Calibri"/>
          <w:szCs w:val="24"/>
          <w:lang w:eastAsia="en-US"/>
        </w:rPr>
        <w:t xml:space="preserve">4) нарушения порядка и срока подачи заявки (окончательного предложения) на участие в запросе котировок</w:t>
      </w:r>
      <w:r>
        <w:rPr>
          <w:rFonts w:ascii="Times New Roman" w:hAnsi="Times New Roman" w:eastAsia="Calibri"/>
          <w:szCs w:val="24"/>
          <w:lang w:val="tt-RU" w:eastAsia="en-US"/>
        </w:rPr>
        <w:t xml:space="preserve">;</w:t>
      </w:r>
      <w:r>
        <w:rPr>
          <w:rFonts w:ascii="Times New Roman" w:hAnsi="Times New Roman" w:eastAsia="Calibri"/>
          <w:szCs w:val="24"/>
          <w:lang w:val="tt-RU" w:eastAsia="en-US"/>
        </w:rPr>
      </w:r>
      <w:r>
        <w:rPr>
          <w:rFonts w:ascii="Times New Roman" w:hAnsi="Times New Roman" w:eastAsia="Calibri"/>
          <w:szCs w:val="24"/>
          <w:lang w:val="tt-RU" w:eastAsia="en-US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szCs w:val="24"/>
          <w:lang w:eastAsia="en-US"/>
        </w:rPr>
      </w:pPr>
      <w:r>
        <w:rPr>
          <w:rFonts w:ascii="Times New Roman" w:hAnsi="Times New Roman" w:eastAsia="Calibri"/>
          <w:szCs w:val="24"/>
          <w:lang w:eastAsia="en-US"/>
        </w:rPr>
        <w:t xml:space="preserve">5) участник закупки не предоставил обеспечение заявки на участие в закупке, если такое обеспечение предусмотрено извещением о проведении запроса котировок;</w:t>
      </w:r>
      <w:r>
        <w:rPr>
          <w:rFonts w:ascii="Times New Roman" w:hAnsi="Times New Roman" w:eastAsia="Calibri"/>
          <w:szCs w:val="24"/>
          <w:lang w:eastAsia="en-US"/>
        </w:rPr>
      </w:r>
      <w:r>
        <w:rPr>
          <w:rFonts w:ascii="Times New Roman" w:hAnsi="Times New Roman" w:eastAsia="Calibri"/>
          <w:szCs w:val="24"/>
          <w:lang w:eastAsia="en-US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szCs w:val="24"/>
          <w:lang w:eastAsia="en-US"/>
        </w:rPr>
      </w:pPr>
      <w:r>
        <w:rPr>
          <w:rFonts w:ascii="Times New Roman" w:hAnsi="Times New Roman" w:eastAsia="Calibri"/>
          <w:szCs w:val="24"/>
          <w:lang w:eastAsia="en-US"/>
        </w:rPr>
        <w:t xml:space="preserve">6) предложенная</w:t>
      </w:r>
      <w:r>
        <w:rPr>
          <w:rFonts w:ascii="Times New Roman" w:hAnsi="Times New Roman" w:eastAsia="Calibri"/>
          <w:szCs w:val="24"/>
          <w:lang w:eastAsia="en-US"/>
        </w:rPr>
        <w:t xml:space="preserve"> участником закупки цена договора и (или) цена единицы товара (работы, услуги) превышает начальную (максимальную) цену договора и (или) начальную (максимальную) цену единицы товара (работы, услуги), указанные в извещении об осуществлении запроса котировок;</w:t>
      </w:r>
      <w:r>
        <w:rPr>
          <w:rFonts w:ascii="Times New Roman" w:hAnsi="Times New Roman" w:eastAsia="Calibri"/>
          <w:szCs w:val="24"/>
          <w:lang w:eastAsia="en-US"/>
        </w:rPr>
      </w:r>
      <w:r>
        <w:rPr>
          <w:rFonts w:ascii="Times New Roman" w:hAnsi="Times New Roman" w:eastAsia="Calibri"/>
          <w:szCs w:val="24"/>
          <w:lang w:eastAsia="en-US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szCs w:val="24"/>
          <w:lang w:val="tt-RU" w:eastAsia="en-US"/>
        </w:rPr>
      </w:pPr>
      <w:r>
        <w:rPr>
          <w:rFonts w:ascii="Times New Roman" w:hAnsi="Times New Roman" w:eastAsia="Calibri"/>
          <w:szCs w:val="24"/>
          <w:lang w:eastAsia="en-US"/>
        </w:rPr>
        <w:t xml:space="preserve">7) несоответствие привлекаемых участником процедуры закупки субподрядчиков (соисполнителей) установленным в извещении запроса котировок требованиям к таким субподрядчикам (соисполнителям) (в случае установления в извещении запроса котировок)</w:t>
      </w:r>
      <w:r>
        <w:rPr>
          <w:rFonts w:ascii="Times New Roman" w:hAnsi="Times New Roman" w:eastAsia="Calibri"/>
          <w:szCs w:val="24"/>
          <w:lang w:val="tt-RU" w:eastAsia="en-US"/>
        </w:rPr>
        <w:t xml:space="preserve">.</w:t>
      </w:r>
      <w:r>
        <w:rPr>
          <w:rFonts w:ascii="Times New Roman" w:hAnsi="Times New Roman" w:eastAsia="Calibri"/>
          <w:szCs w:val="24"/>
          <w:lang w:val="tt-RU" w:eastAsia="en-US"/>
        </w:rPr>
      </w:r>
      <w:r>
        <w:rPr>
          <w:rFonts w:ascii="Times New Roman" w:hAnsi="Times New Roman" w:eastAsia="Calibri"/>
          <w:szCs w:val="24"/>
          <w:lang w:val="tt-RU" w:eastAsia="en-US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szCs w:val="24"/>
          <w:lang w:eastAsia="en-US"/>
        </w:rPr>
      </w:pPr>
      <w:r>
        <w:rPr>
          <w:rFonts w:ascii="Times New Roman" w:hAnsi="Times New Roman" w:eastAsia="Calibri"/>
          <w:szCs w:val="24"/>
          <w:lang w:eastAsia="en-US"/>
        </w:rPr>
        <w:t xml:space="preserve">Если выявлен хотя бы один из фактов, указанных в данном пункте, комиссия по закупкам обязана отстранить участника от процедуры закупки на любом этапе ее проведения до момента заключения договора.</w:t>
      </w:r>
      <w:r>
        <w:rPr>
          <w:rFonts w:ascii="Times New Roman" w:hAnsi="Times New Roman" w:eastAsia="Calibri"/>
          <w:szCs w:val="24"/>
          <w:lang w:eastAsia="en-US"/>
        </w:rPr>
      </w:r>
      <w:r>
        <w:rPr>
          <w:rFonts w:ascii="Times New Roman" w:hAnsi="Times New Roman" w:eastAsia="Calibri"/>
          <w:szCs w:val="24"/>
          <w:lang w:eastAsia="en-US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szCs w:val="24"/>
          <w:lang w:eastAsia="en-US"/>
        </w:rPr>
      </w:pPr>
      <w:r>
        <w:rPr>
          <w:rFonts w:ascii="Times New Roman" w:hAnsi="Times New Roman" w:eastAsia="Calibri"/>
          <w:szCs w:val="24"/>
          <w:lang w:eastAsia="en-US"/>
        </w:rPr>
        <w:t xml:space="preserve">В случае выявления фактов, предусмотренн</w:t>
      </w:r>
      <w:r>
        <w:rPr>
          <w:rFonts w:ascii="Times New Roman" w:hAnsi="Times New Roman" w:eastAsia="Calibri"/>
          <w:szCs w:val="24"/>
          <w:lang w:eastAsia="en-US"/>
        </w:rPr>
        <w:t xml:space="preserve">ых в данном пункте, в момент рассмотрения заявок информация об отказе в допуске участникам отражается в протоколе рассмотрения заявок. При этом указываются основания отказа, факты, послужившие основанием для отказа, и обстоятельства выявления таких фактов.</w:t>
      </w:r>
      <w:r>
        <w:rPr>
          <w:rFonts w:ascii="Times New Roman" w:hAnsi="Times New Roman" w:eastAsia="Calibri"/>
          <w:szCs w:val="24"/>
          <w:lang w:eastAsia="en-US"/>
        </w:rPr>
      </w:r>
      <w:r>
        <w:rPr>
          <w:rFonts w:ascii="Times New Roman" w:hAnsi="Times New Roman" w:eastAsia="Calibri"/>
          <w:szCs w:val="24"/>
          <w:lang w:eastAsia="en-US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  <w:t xml:space="preserve">22. Размер обеспечения заявки на участие в запросе котировок, срок и порядок его предоставления участником закупки.</w:t>
      </w: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Не установлено.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  <w:t xml:space="preserve">23. Размер обеспечения исполнения договора, срок и порядок его предоставления лицом, с которым заключается договор, </w:t>
      </w:r>
      <w:r>
        <w:rPr>
          <w:rFonts w:ascii="Times New Roman" w:hAnsi="Times New Roman"/>
          <w:b/>
        </w:rPr>
        <w:t xml:space="preserve">а также основное обязательство, испо</w:t>
      </w:r>
      <w:r>
        <w:rPr>
          <w:rFonts w:ascii="Times New Roman" w:hAnsi="Times New Roman"/>
          <w:b/>
        </w:rPr>
        <w:t xml:space="preserve">лнение которого обеспечивается </w:t>
      </w:r>
      <w:r>
        <w:rPr>
          <w:rFonts w:ascii="Times New Roman" w:hAnsi="Times New Roman"/>
          <w:b/>
        </w:rPr>
        <w:t xml:space="preserve">и срок его исполнения.</w:t>
      </w: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Не установлено.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shd w:val="clear" w:color="auto" w:fill="ffffd7"/>
        </w:rPr>
      </w:pPr>
      <w:r>
        <w:rPr>
          <w:shd w:val="clear" w:color="auto" w:fill="ffffd7"/>
        </w:rPr>
      </w:r>
      <w:r>
        <w:rPr>
          <w:shd w:val="clear" w:color="auto" w:fill="ffffd7"/>
        </w:rPr>
      </w:r>
      <w:r>
        <w:rPr>
          <w:shd w:val="clear" w:color="auto" w:fill="ffffd7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  <w:t xml:space="preserve">24. Порядок заключения договора.</w:t>
      </w: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Порядок заключения и исполнения договора регулируется Гражданским кодексом Российской Федерации, иными нормативными правовыми актами Российской Федерации, Положением, иными локальными актами Заказчика.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По результатам проведения запроса котировок товаров, работ, услуг заказчиком заключается договор с участником (победителем). Договор заключается на условиях, предусмотренных извещением</w:t>
      </w:r>
      <w:r>
        <w:rPr>
          <w:rFonts w:ascii="Times New Roman" w:hAnsi="Times New Roman" w:eastAsia="Calibri"/>
        </w:rPr>
        <w:t xml:space="preserve"> об осуществлении запроса котировок, по цене, предложенной победителем либо иным участником, с которым заключается договор. При заключении договора его цена не может превышать начальную (максимальную) цену договора, указанную в извещении запроса котировок.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При заключении договора на поставку нескольких позиций определенной продукции, на оказание нескольких видов определенных услуг или выполнение нескол</w:t>
      </w:r>
      <w:r>
        <w:rPr>
          <w:rFonts w:ascii="Times New Roman" w:hAnsi="Times New Roman" w:eastAsia="Calibri"/>
        </w:rPr>
        <w:t xml:space="preserve">ьких этапов работ к цене каждой позиции должен быть применен понижающий коэффициент. В этих случаях стоимость каждой позиции или каждого этапа пересчитывается пропорционально полученному коэффициенту понижения. Данный коэффициент рассчитывается по формуле: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ПК = ОЦП / НМЦД,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где: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ПК – понижающий коэффициент;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ОЦП – окончательное ценовое предложение;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НМЦД – начальная максимальная цена договора.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Договор заключается после предоставления победителем обеспечения исполнения договора (если требование об обеспечении исполнения договора было предусмотрено извещением об осуществлении запроса котировок.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Договор по результатам запроса котировок заключается не ранее чем через 10 (десять) дней и не позднее чем через 20 (двадцать) дней с даты размещения в ЕИС итогового протокола, составленного по результатам запроса котировок. В случае нео</w:t>
      </w:r>
      <w:r>
        <w:rPr>
          <w:rFonts w:ascii="Times New Roman" w:hAnsi="Times New Roman" w:eastAsia="Calibri"/>
        </w:rPr>
        <w:t xml:space="preserve">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(бездействия) Заказчика, единой комиссии, оператора электронной площадк</w:t>
      </w:r>
      <w:r>
        <w:rPr>
          <w:rFonts w:ascii="Times New Roman" w:hAnsi="Times New Roman" w:eastAsia="Calibri"/>
        </w:rPr>
        <w:t xml:space="preserve">и договор должен быть заключен не позднее чем через 5 (пять) дней с даты указанного одобрения или с даты вынесения решения антимонопольного органа по результатам обжалования действий (бездействия) Заказчика, единой комиссии, оператора электронной площадки.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Заказчик направляет победителю без своей подписи проект договора, заполненный в соответствии с заявкой такого участника, в течение 5 (пяти) дней с даты размещения в ЕИС итогового протокола.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Победитель в течение 5 (пяти) дней с даты получения проекта договора от Заказчика подписывает договор и направляет Заказчику подписанный со своей стороны договор и документ, подтверждающий предоставление обеспечения исполнения договора.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Заказчик подписывает присланный и подписанный победителем договор с соблюдением сроков, указанных в настоящем разделе документации.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В случае наличия у победителя ра</w:t>
      </w:r>
      <w:r>
        <w:rPr>
          <w:rFonts w:ascii="Times New Roman" w:hAnsi="Times New Roman" w:eastAsia="Calibri"/>
        </w:rPr>
        <w:t xml:space="preserve">зногласий по проекту договора, победитель направляет Заказчику протокол разногласий в течение 5 (пяти) дней с даты получения проекта договора от Заказчика. Указанный протокол может быть направлен в отношении соответствующего договора не более чем один раз.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Заказчик в течение 3 (трех) дней с момента получения протокола разногласий рассматривает протокол разногласий и принимает решение о признании или непризнании разногласий обоснованными. В случае если разногласия признаны обоснованными Заказчик направляет </w:t>
      </w:r>
      <w:r>
        <w:rPr>
          <w:rFonts w:ascii="Times New Roman" w:hAnsi="Times New Roman" w:eastAsia="Calibri"/>
        </w:rPr>
        <w:t xml:space="preserve">победителю</w:t>
      </w:r>
      <w:r>
        <w:rPr>
          <w:rFonts w:ascii="Times New Roman" w:hAnsi="Times New Roman" w:eastAsia="Calibri"/>
        </w:rPr>
        <w:t xml:space="preserve"> доработанный проект</w:t>
      </w:r>
      <w:r>
        <w:rPr>
          <w:rFonts w:ascii="Times New Roman" w:hAnsi="Times New Roman" w:eastAsia="Calibri"/>
        </w:rPr>
        <w:t xml:space="preserve"> договора.  В случае если разногласия признаны необоснованными, Заказчик повторно направляет победителю проект договора с указанием в отдельном документе причин отказа учесть полностью или частично содержащиеся в протоколе разногласий замечания победителя.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Победитель закупки признается уклонившимся от заключения договора в случае </w:t>
      </w:r>
      <w:r>
        <w:rPr>
          <w:rFonts w:ascii="Times New Roman" w:hAnsi="Times New Roman" w:eastAsia="Calibri"/>
        </w:rPr>
        <w:t xml:space="preserve">неподписания</w:t>
      </w:r>
      <w:r>
        <w:rPr>
          <w:rFonts w:ascii="Times New Roman" w:hAnsi="Times New Roman" w:eastAsia="Calibri"/>
        </w:rPr>
        <w:t xml:space="preserve"> договора и (или) </w:t>
      </w:r>
      <w:r>
        <w:rPr>
          <w:rFonts w:ascii="Times New Roman" w:hAnsi="Times New Roman" w:eastAsia="Calibri"/>
        </w:rPr>
        <w:t xml:space="preserve">непредоставления</w:t>
      </w:r>
      <w:r>
        <w:rPr>
          <w:rFonts w:ascii="Times New Roman" w:hAnsi="Times New Roman" w:eastAsia="Calibri"/>
        </w:rPr>
        <w:t xml:space="preserve"> обеспечения исполнения договора (если требование об обеспечении исполнения договора было предусмотрено извещением об осуществлении запроса </w:t>
      </w:r>
      <w:r>
        <w:rPr>
          <w:rFonts w:ascii="Times New Roman" w:hAnsi="Times New Roman" w:eastAsia="Calibri"/>
        </w:rPr>
        <w:t xml:space="preserve">котировок  в</w:t>
      </w:r>
      <w:r>
        <w:rPr>
          <w:rFonts w:ascii="Times New Roman" w:hAnsi="Times New Roman" w:eastAsia="Calibri"/>
        </w:rPr>
        <w:t xml:space="preserve"> порядке и сроки, предусмотренные Положением и настоящим извещением.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Заказчик обязан отказаться от заключения договора с победителем в любой момент до заключения договора, если заказчик или ко</w:t>
      </w:r>
      <w:r>
        <w:rPr>
          <w:rFonts w:ascii="Times New Roman" w:hAnsi="Times New Roman" w:eastAsia="Calibri"/>
        </w:rPr>
        <w:t xml:space="preserve">миссия по осуществлению закупок обнаружит, что победитель не соответствует требованиям, установленным в извещении о запросе котировок в соответствии Положением, или предоставил недостоверную информацию в отношении своего соответствия указанным требованиям.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В случае отказа от заключения договора с победителем закупки, либо при уклонении победителя закупки от заключения договора, заказчиком подписывается и размещается в ЕИС соответствующий протокол. В указанный проток</w:t>
      </w:r>
      <w:r>
        <w:rPr>
          <w:rFonts w:ascii="Times New Roman" w:hAnsi="Times New Roman" w:eastAsia="Calibri"/>
        </w:rPr>
        <w:t xml:space="preserve">ол включаются сведения о месте, дате и времени его составления, о лице, с которым Заказчик отказывается заключить договор, сведения о фактах, являющихся основанием для отказа от заключения договора, а также реквизиты документов, подтверждающих такие факты.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В случае отказа от заключения договора с победителем закупки либо в случае, если победитель при</w:t>
      </w:r>
      <w:r>
        <w:rPr>
          <w:rFonts w:ascii="Times New Roman" w:hAnsi="Times New Roman" w:eastAsia="Calibri"/>
        </w:rPr>
        <w:t xml:space="preserve">знан уклонившимся от заключения договора, Заказчик вправе заключить договор с участником запроса котировок, заявке на участие в запросе котировок которого присвоен следующий порядковый номер. Этот участник признается победителем такой процедуры, и в проект</w:t>
      </w:r>
      <w:r>
        <w:rPr>
          <w:rFonts w:ascii="Times New Roman" w:hAnsi="Times New Roman" w:eastAsia="Calibri"/>
        </w:rPr>
        <w:t xml:space="preserve"> договора заказчиком включаются условия в соответствии с заявкой такого участника. Договор с таким участником заключается при наличии согласия такого участника на заключение договора в соответствии с предусмотренным Положением порядком заключения договора.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В случае признания процедуры закупки несостоявшейся заказчик вправе заключить договор с единственным поставщиком (подрядчиком, исполнителем).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В случае заключения договора с физическим лицом, за исключением индивидуального предпринимателя и иного занимающегося частной практикой лица, цена такого договора уменьшается на размер налоговых платежей, связанных с оплатой договора.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  <w:t xml:space="preserve">25. Проект договора.</w:t>
      </w: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Представлен отдельным файлом.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  <w:t xml:space="preserve">26. Техническое задание.</w:t>
      </w: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eastAsia="Calibri"/>
        </w:rPr>
        <w:t xml:space="preserve">Представлено отдельным файлом.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sectPr>
      <w:footerReference w:type="default" r:id="rId9"/>
      <w:footerReference w:type="even" r:id="rId10"/>
      <w:footerReference w:type="first" r:id="rId11"/>
      <w:footnotePr/>
      <w:endnotePr/>
      <w:type w:val="nextPage"/>
      <w:pgSz w:w="11906" w:h="16838" w:orient="portrait"/>
      <w:pgMar w:top="357" w:right="567" w:bottom="301" w:left="425" w:header="0" w:footer="85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Droid Sans">
    <w:panose1 w:val="020B0706030804020204"/>
  </w:font>
  <w:font w:name="Tahoma">
    <w:panose1 w:val="020B0604030504040204"/>
  </w:font>
  <w:font w:name="Courier New">
    <w:panose1 w:val="02070409020205020404"/>
  </w:font>
  <w:font w:name="TimesDL">
    <w:panose1 w:val="02000603000000000000"/>
  </w:font>
  <w:font w:name="Noto Sans Devanagari">
    <w:panose1 w:val="020B0502040504020204"/>
  </w:font>
  <w:font w:name="Lohit Hindi">
    <w:panose1 w:val="02000603000000000000"/>
  </w:font>
  <w:font w:name="font80">
    <w:panose1 w:val="02000603000000000000"/>
  </w:font>
  <w:font w:name="DejaVu Sans">
    <w:panose1 w:val="020B0603030804020204"/>
  </w:font>
  <w:font w:name="Arial Narrow">
    <w:panose1 w:val="020B0606020202030204"/>
  </w:font>
  <w:font w:name="Times New Roman">
    <w:panose1 w:val="02020603050405020304"/>
  </w:font>
  <w:font w:name="font186">
    <w:panose1 w:val="02000603000000000000"/>
  </w:font>
  <w:font w:name="Calibri">
    <w:panose1 w:val="020F0502020204030204"/>
  </w:font>
  <w:font w:name="Arial Unicode MS">
    <w:panose1 w:val="020B0606020202030204"/>
  </w:font>
  <w:font w:name="PT Astra Serif">
    <w:panose1 w:val="020A060304050502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1"/>
      <w:ind w:right="360"/>
    </w:pPr>
    <w:r>
      <w:rPr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7728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1755" cy="170815"/>
              <wp:effectExtent l="0" t="0" r="0" b="0"/>
              <wp:wrapSquare wrapText="bothSides"/>
              <wp:docPr id="1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71640" cy="1706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txbx>
                      <w:txbxContent>
                        <w:p>
                          <w:pPr>
                            <w:pStyle w:val="1021"/>
                            <w:rPr>
                              <w:rStyle w:val="985"/>
                            </w:rPr>
                          </w:pPr>
                          <w:r>
                            <w:rPr>
                              <w:rStyle w:val="985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98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98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985"/>
                              <w:color w:val="000000"/>
                            </w:rPr>
                            <w:t xml:space="preserve">8</w:t>
                          </w:r>
                          <w:r>
                            <w:rPr>
                              <w:rStyle w:val="985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985"/>
                            </w:rPr>
                          </w:r>
                          <w:r>
                            <w:rPr>
                              <w:rStyle w:val="985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type="#_x0000_t1" style="position:absolute;z-index:-251657728;o:allowoverlap:true;o:allowincell:false;mso-position-horizontal-relative:margin;mso-position-horizontal:right;mso-position-vertical-relative:text;margin-top:0.05pt;mso-position-vertical:absolute;width:5.65pt;height:13.4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1021"/>
                      <w:rPr>
                        <w:rStyle w:val="985"/>
                      </w:rPr>
                    </w:pPr>
                    <w:r>
                      <w:rPr>
                        <w:rStyle w:val="985"/>
                        <w:color w:val="000000"/>
                      </w:rPr>
                      <w:fldChar w:fldCharType="begin"/>
                    </w:r>
                    <w:r>
                      <w:rPr>
                        <w:rStyle w:val="985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985"/>
                        <w:color w:val="000000"/>
                      </w:rPr>
                      <w:fldChar w:fldCharType="separate"/>
                    </w:r>
                    <w:r>
                      <w:rPr>
                        <w:rStyle w:val="985"/>
                        <w:color w:val="000000"/>
                      </w:rPr>
                      <w:t xml:space="preserve">8</w:t>
                    </w:r>
                    <w:r>
                      <w:rPr>
                        <w:rStyle w:val="985"/>
                        <w:color w:val="000000"/>
                      </w:rPr>
                      <w:fldChar w:fldCharType="end"/>
                    </w:r>
                    <w:r>
                      <w:rPr>
                        <w:rStyle w:val="985"/>
                      </w:rPr>
                    </w:r>
                    <w:r>
                      <w:rPr>
                        <w:rStyle w:val="985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1"/>
      <w:ind w:right="360"/>
    </w:pPr>
    <w:r>
      <w:rPr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6704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txbx>
                      <w:txbxContent>
                        <w:p>
                          <w:pPr>
                            <w:pStyle w:val="1021"/>
                            <w:rPr>
                              <w:rStyle w:val="985"/>
                            </w:rPr>
                          </w:pPr>
                          <w:r>
                            <w:rPr>
                              <w:rStyle w:val="985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98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98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985"/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rStyle w:val="985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985"/>
                            </w:rPr>
                          </w:r>
                          <w:r>
                            <w:rPr>
                              <w:rStyle w:val="985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o:spt="1" type="#_x0000_t1" style="position:absolute;z-index:-251656704;o:allowoverlap:true;o:allowincell:false;mso-position-horizontal-relative:margin;mso-position-horizontal:right;mso-position-vertical-relative:text;margin-top:0.05pt;mso-position-vertical:absolute;width:1.15pt;height:1.1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1021"/>
                      <w:rPr>
                        <w:rStyle w:val="985"/>
                      </w:rPr>
                    </w:pPr>
                    <w:r>
                      <w:rPr>
                        <w:rStyle w:val="985"/>
                        <w:color w:val="000000"/>
                      </w:rPr>
                      <w:fldChar w:fldCharType="begin"/>
                    </w:r>
                    <w:r>
                      <w:rPr>
                        <w:rStyle w:val="985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985"/>
                        <w:color w:val="000000"/>
                      </w:rPr>
                      <w:fldChar w:fldCharType="separate"/>
                    </w:r>
                    <w:r>
                      <w:rPr>
                        <w:rStyle w:val="985"/>
                        <w:color w:val="000000"/>
                      </w:rPr>
                      <w:t xml:space="preserve">0</w:t>
                    </w:r>
                    <w:r>
                      <w:rPr>
                        <w:rStyle w:val="985"/>
                        <w:color w:val="000000"/>
                      </w:rPr>
                      <w:fldChar w:fldCharType="end"/>
                    </w:r>
                    <w:r>
                      <w:rPr>
                        <w:rStyle w:val="985"/>
                      </w:rPr>
                    </w:r>
                    <w:r>
                      <w:rPr>
                        <w:rStyle w:val="985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1"/>
      <w:ind w:right="360"/>
    </w:pPr>
    <w:r>
      <w:rPr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8752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1755" cy="170815"/>
              <wp:effectExtent l="0" t="0" r="0" b="0"/>
              <wp:wrapSquare wrapText="bothSides"/>
              <wp:docPr id="3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71640" cy="1706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txbx>
                      <w:txbxContent>
                        <w:p>
                          <w:pPr>
                            <w:pStyle w:val="1021"/>
                            <w:rPr>
                              <w:rStyle w:val="985"/>
                            </w:rPr>
                          </w:pPr>
                          <w:r>
                            <w:rPr>
                              <w:rStyle w:val="985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98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98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985"/>
                              <w:color w:val="000000"/>
                            </w:rPr>
                            <w:t xml:space="preserve">8</w:t>
                          </w:r>
                          <w:r>
                            <w:rPr>
                              <w:rStyle w:val="985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985"/>
                            </w:rPr>
                          </w:r>
                          <w:r>
                            <w:rPr>
                              <w:rStyle w:val="985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2" o:spid="_x0000_s2" o:spt="1" type="#_x0000_t1" style="position:absolute;z-index:-251658752;o:allowoverlap:true;o:allowincell:false;mso-position-horizontal-relative:margin;mso-position-horizontal:right;mso-position-vertical-relative:text;margin-top:0.05pt;mso-position-vertical:absolute;width:5.65pt;height:13.4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1021"/>
                      <w:rPr>
                        <w:rStyle w:val="985"/>
                      </w:rPr>
                    </w:pPr>
                    <w:r>
                      <w:rPr>
                        <w:rStyle w:val="985"/>
                        <w:color w:val="000000"/>
                      </w:rPr>
                      <w:fldChar w:fldCharType="begin"/>
                    </w:r>
                    <w:r>
                      <w:rPr>
                        <w:rStyle w:val="985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985"/>
                        <w:color w:val="000000"/>
                      </w:rPr>
                      <w:fldChar w:fldCharType="separate"/>
                    </w:r>
                    <w:r>
                      <w:rPr>
                        <w:rStyle w:val="985"/>
                        <w:color w:val="000000"/>
                      </w:rPr>
                      <w:t xml:space="preserve">8</w:t>
                    </w:r>
                    <w:r>
                      <w:rPr>
                        <w:rStyle w:val="985"/>
                        <w:color w:val="000000"/>
                      </w:rPr>
                      <w:fldChar w:fldCharType="end"/>
                    </w:r>
                    <w:r>
                      <w:rPr>
                        <w:rStyle w:val="985"/>
                      </w:rPr>
                    </w:r>
                    <w:r>
                      <w:rPr>
                        <w:rStyle w:val="985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1032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">
    <w:multiLevelType w:val="hybridMultilevel"/>
    <w:lvl w:ilvl="0">
      <w:start w:val="1"/>
      <w:numFmt w:val="decimal"/>
      <w:pStyle w:val="1033"/>
      <w:isLgl w:val="false"/>
      <w:suff w:val="tab"/>
      <w:lvlText w:val="%1."/>
      <w:lvlJc w:val="left"/>
      <w:pPr>
        <w:ind w:left="926" w:hanging="360"/>
        <w:tabs>
          <w:tab w:val="num" w:pos="926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2">
    <w:multiLevelType w:val="hybridMultilevel"/>
    <w:lvl w:ilvl="0">
      <w:start w:val="1"/>
      <w:numFmt w:val="bullet"/>
      <w:pStyle w:val="1030"/>
      <w:isLgl w:val="false"/>
      <w:suff w:val="tab"/>
      <w:lvlText w:val=""/>
      <w:lvlJc w:val="left"/>
      <w:pPr>
        <w:ind w:left="1209" w:hanging="360"/>
        <w:tabs>
          <w:tab w:val="num" w:pos="1209" w:leader="none"/>
        </w:tabs>
      </w:pPr>
      <w:rPr>
        <w:rFonts w:hint="default" w:ascii="Symbol" w:hAnsi="Symbol" w:cs="Symbol"/>
      </w:r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3">
    <w:multiLevelType w:val="hybridMultilevel"/>
    <w:lvl w:ilvl="0">
      <w:start w:val="1"/>
      <w:numFmt w:val="decimal"/>
      <w:pStyle w:val="1037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4">
    <w:multiLevelType w:val="hybridMultilevel"/>
    <w:lvl w:ilvl="0">
      <w:start w:val="1"/>
      <w:numFmt w:val="bullet"/>
      <w:pStyle w:val="1029"/>
      <w:isLgl w:val="false"/>
      <w:suff w:val="tab"/>
      <w:lvlText w:val=""/>
      <w:lvlJc w:val="left"/>
      <w:pPr>
        <w:ind w:left="926" w:hanging="360"/>
        <w:tabs>
          <w:tab w:val="num" w:pos="926" w:leader="none"/>
        </w:tabs>
      </w:pPr>
      <w:rPr>
        <w:rFonts w:hint="default" w:ascii="Symbol" w:hAnsi="Symbol" w:cs="Symbol"/>
      </w:r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5">
    <w:multiLevelType w:val="hybridMultilevel"/>
    <w:lvl w:ilvl="0">
      <w:start w:val="1"/>
      <w:numFmt w:val="bullet"/>
      <w:pStyle w:val="1031"/>
      <w:isLgl w:val="false"/>
      <w:suff w:val="tab"/>
      <w:lvlText w:val=""/>
      <w:lvlJc w:val="left"/>
      <w:pPr>
        <w:ind w:left="1492" w:hanging="360"/>
        <w:tabs>
          <w:tab w:val="num" w:pos="1492" w:leader="none"/>
        </w:tabs>
      </w:pPr>
      <w:rPr>
        <w:rFonts w:hint="default" w:ascii="Symbol" w:hAnsi="Symbol" w:cs="Symbol"/>
      </w:r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6">
    <w:multiLevelType w:val="hybridMultilevel"/>
    <w:lvl w:ilvl="0">
      <w:start w:val="1"/>
      <w:numFmt w:val="decimal"/>
      <w:pStyle w:val="1034"/>
      <w:isLgl w:val="false"/>
      <w:suff w:val="tab"/>
      <w:lvlText w:val="%1."/>
      <w:lvlJc w:val="left"/>
      <w:pPr>
        <w:ind w:left="1209" w:hanging="360"/>
        <w:tabs>
          <w:tab w:val="num" w:pos="1209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7">
    <w:multiLevelType w:val="hybridMultilevel"/>
    <w:lvl w:ilvl="0">
      <w:start w:val="1"/>
      <w:numFmt w:val="bullet"/>
      <w:pStyle w:val="1028"/>
      <w:isLgl w:val="false"/>
      <w:suff w:val="tab"/>
      <w:lvlText w:val=""/>
      <w:lvlJc w:val="left"/>
      <w:pPr>
        <w:ind w:left="643" w:hanging="360"/>
        <w:tabs>
          <w:tab w:val="num" w:pos="643" w:leader="none"/>
        </w:tabs>
      </w:pPr>
      <w:rPr>
        <w:rFonts w:hint="default" w:ascii="Symbol" w:hAnsi="Symbol" w:cs="Symbol"/>
      </w:r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</w:lvl>
    <w:lvl w:ilvl="1">
      <w:start w:val="1"/>
      <w:numFmt w:val="decimal"/>
      <w:isLgl w:val="false"/>
      <w:suff w:val="tab"/>
      <w:lvlText w:val="%1.%2"/>
      <w:lvlJc w:val="left"/>
      <w:pPr>
        <w:ind w:left="576" w:hanging="576"/>
        <w:tabs>
          <w:tab w:val="num" w:pos="576" w:leader="none"/>
        </w:tabs>
      </w:p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pStyle w:val="814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</w:lvl>
    <w:lvl w:ilvl="4">
      <w:start w:val="1"/>
      <w:numFmt w:val="decimal"/>
      <w:pStyle w:val="815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</w:lvl>
    <w:lvl w:ilvl="5">
      <w:start w:val="1"/>
      <w:numFmt w:val="decimal"/>
      <w:pStyle w:val="816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</w:lvl>
    <w:lvl w:ilvl="6">
      <w:start w:val="1"/>
      <w:numFmt w:val="decimal"/>
      <w:pStyle w:val="817"/>
      <w:isLgl w:val="false"/>
      <w:suff w:val="tab"/>
      <w:lvlText w:val="%1.%2.%3.%4.%5.%6.%7"/>
      <w:lvlJc w:val="left"/>
      <w:pPr>
        <w:ind w:left="2016" w:hanging="1296"/>
        <w:tabs>
          <w:tab w:val="num" w:pos="2016" w:leader="none"/>
        </w:tabs>
      </w:pPr>
    </w:lvl>
    <w:lvl w:ilvl="7">
      <w:start w:val="1"/>
      <w:numFmt w:val="decimal"/>
      <w:pStyle w:val="818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pStyle w:val="819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</w:lvl>
  </w:abstractNum>
  <w:abstractNum w:abstractNumId="9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432" w:hanging="432"/>
        <w:tabs>
          <w:tab w:val="num" w:pos="0" w:leader="none"/>
        </w:tabs>
      </w:pPr>
    </w:lvl>
    <w:lvl w:ilvl="1">
      <w:start w:val="1"/>
      <w:numFmt w:val="none"/>
      <w:pStyle w:val="812"/>
      <w:isLgl w:val="false"/>
      <w:suff w:val="nothing"/>
      <w:lvlText w:val=""/>
      <w:lvlJc w:val="left"/>
      <w:pPr>
        <w:ind w:left="576" w:hanging="576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720" w:hanging="72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864" w:hanging="864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1008" w:hanging="1008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1152" w:hanging="1152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1296" w:hanging="1296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1440" w:hanging="144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1584" w:hanging="1584"/>
        <w:tabs>
          <w:tab w:val="num" w:pos="0" w:leader="none"/>
        </w:tabs>
      </w:pPr>
    </w:lvl>
  </w:abstractNum>
  <w:abstractNum w:abstractNumId="10">
    <w:multiLevelType w:val="hybridMultilevel"/>
    <w:lvl w:ilvl="0">
      <w:start w:val="1"/>
      <w:numFmt w:val="decimal"/>
      <w:pStyle w:val="1117"/>
      <w:isLgl w:val="false"/>
      <w:suff w:val="tab"/>
      <w:lvlText w:val="%1."/>
      <w:lvlJc w:val="center"/>
      <w:pPr>
        <w:ind w:left="567" w:hanging="279"/>
        <w:tabs>
          <w:tab w:val="num" w:pos="567" w:leader="none"/>
        </w:tabs>
      </w:pPr>
    </w:lvl>
    <w:lvl w:ilvl="1">
      <w:start w:val="1"/>
      <w:numFmt w:val="decimal"/>
      <w:pStyle w:val="1113"/>
      <w:isLgl w:val="false"/>
      <w:suff w:val="tab"/>
      <w:lvlText w:val="%1.%2."/>
      <w:lvlJc w:val="left"/>
      <w:pPr>
        <w:ind w:left="1702" w:hanging="567"/>
        <w:tabs>
          <w:tab w:val="num" w:pos="1702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851" w:hanging="851"/>
        <w:tabs>
          <w:tab w:val="num" w:pos="851" w:leader="none"/>
        </w:tabs>
      </w:pPr>
      <w:rPr>
        <w:spacing w:val="0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127" w:hanging="567"/>
        <w:tabs>
          <w:tab w:val="num" w:pos="2127" w:leader="none"/>
        </w:tabs>
      </w:pPr>
    </w:lvl>
    <w:lvl w:ilvl="4">
      <w:start w:val="1"/>
      <w:numFmt w:val="russianLower"/>
      <w:pStyle w:val="1116"/>
      <w:isLgl w:val="false"/>
      <w:suff w:val="tab"/>
      <w:lvlText w:val="%5)"/>
      <w:lvlJc w:val="left"/>
      <w:pPr>
        <w:ind w:left="1576" w:hanging="1008"/>
        <w:tabs>
          <w:tab w:val="num" w:pos="1576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592" w:hanging="1152"/>
        <w:tabs>
          <w:tab w:val="num" w:pos="2592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736" w:hanging="1296"/>
        <w:tabs>
          <w:tab w:val="num" w:pos="2736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880" w:hanging="1440"/>
        <w:tabs>
          <w:tab w:val="num" w:pos="288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3024" w:hanging="1584"/>
        <w:tabs>
          <w:tab w:val="num" w:pos="3024" w:leader="none"/>
        </w:tabs>
      </w:pPr>
    </w:lvl>
  </w:abstractNum>
  <w:abstractNum w:abstractNumId="11">
    <w:multiLevelType w:val="hybridMultilevel"/>
    <w:lvl w:ilvl="0">
      <w:start w:val="1"/>
      <w:numFmt w:val="decimal"/>
      <w:pStyle w:val="1038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2">
    <w:multiLevelType w:val="hybridMultilevel"/>
    <w:lvl w:ilvl="0">
      <w:start w:val="1"/>
      <w:numFmt w:val="upperRoman"/>
      <w:isLgl w:val="false"/>
      <w:suff w:val="tab"/>
      <w:lvlText w:val="ЧАСТЬ %1."/>
      <w:lvlJc w:val="left"/>
      <w:pPr>
        <w:ind w:left="720" w:hanging="720"/>
        <w:tabs>
          <w:tab w:val="num" w:pos="2160" w:leader="none"/>
        </w:tabs>
      </w:pPr>
      <w:rPr>
        <w:sz w:val="40"/>
        <w:szCs w:val="40"/>
      </w:rPr>
    </w:lvl>
    <w:lvl w:ilvl="1">
      <w:start w:val="1"/>
      <w:numFmt w:val="decimal"/>
      <w:pStyle w:val="1036"/>
      <w:isLgl w:val="false"/>
      <w:suff w:val="tab"/>
      <w:lvlText w:val="РАЗДЕЛ %1.%2"/>
      <w:lvlJc w:val="left"/>
      <w:pPr>
        <w:ind w:left="720" w:hanging="72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  <w:tabs>
          <w:tab w:val="num" w:pos="720" w:leader="none"/>
        </w:tabs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  <w:tabs>
          <w:tab w:val="num" w:pos="1080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080" w:hanging="1080"/>
        <w:tabs>
          <w:tab w:val="num" w:pos="1080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  <w:tabs>
          <w:tab w:val="num" w:pos="1440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800" w:hanging="1800"/>
        <w:tabs>
          <w:tab w:val="num" w:pos="1800" w:leader="none"/>
        </w:tabs>
      </w:pPr>
    </w:lvl>
  </w:abstractNum>
  <w:abstractNum w:abstractNumId="13">
    <w:multiLevelType w:val="hybridMultilevel"/>
    <w:lvl w:ilvl="0">
      <w:start w:val="1"/>
      <w:numFmt w:val="decimal"/>
      <w:pStyle w:val="1035"/>
      <w:isLgl w:val="false"/>
      <w:suff w:val="tab"/>
      <w:lvlText w:val="%1."/>
      <w:lvlJc w:val="left"/>
      <w:pPr>
        <w:ind w:left="1492" w:hanging="360"/>
        <w:tabs>
          <w:tab w:val="num" w:pos="1492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num w:numId="1">
    <w:abstractNumId w:val="8"/>
  </w:num>
  <w:num w:numId="2">
    <w:abstractNumId w:val="9"/>
  </w:num>
  <w:num w:numId="3">
    <w:abstractNumId w:val="7"/>
  </w:num>
  <w:num w:numId="4">
    <w:abstractNumId w:val="4"/>
  </w:num>
  <w:num w:numId="5">
    <w:abstractNumId w:val="2"/>
  </w:num>
  <w:num w:numId="6">
    <w:abstractNumId w:val="5"/>
  </w:num>
  <w:num w:numId="7">
    <w:abstractNumId w:val="0"/>
  </w:num>
  <w:num w:numId="8">
    <w:abstractNumId w:val="1"/>
  </w:num>
  <w:num w:numId="9">
    <w:abstractNumId w:val="6"/>
  </w:num>
  <w:num w:numId="10">
    <w:abstractNumId w:val="13"/>
  </w:num>
  <w:num w:numId="11">
    <w:abstractNumId w:val="12"/>
  </w:num>
  <w:num w:numId="12">
    <w:abstractNumId w:val="3"/>
  </w:num>
  <w:num w:numId="13">
    <w:abstractNumId w:val="1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93">
    <w:name w:val="Heading 1 Char"/>
    <w:basedOn w:val="820"/>
    <w:link w:val="811"/>
    <w:uiPriority w:val="9"/>
    <w:rPr>
      <w:rFonts w:ascii="Arial" w:hAnsi="Arial" w:eastAsia="Arial" w:cs="Arial"/>
      <w:sz w:val="40"/>
      <w:szCs w:val="40"/>
    </w:rPr>
  </w:style>
  <w:style w:type="character" w:styleId="794">
    <w:name w:val="Heading 2 Char"/>
    <w:basedOn w:val="820"/>
    <w:link w:val="812"/>
    <w:uiPriority w:val="9"/>
    <w:rPr>
      <w:rFonts w:ascii="Arial" w:hAnsi="Arial" w:eastAsia="Arial" w:cs="Arial"/>
      <w:sz w:val="34"/>
    </w:rPr>
  </w:style>
  <w:style w:type="character" w:styleId="795">
    <w:name w:val="Heading 4 Char"/>
    <w:basedOn w:val="820"/>
    <w:link w:val="814"/>
    <w:uiPriority w:val="9"/>
    <w:rPr>
      <w:rFonts w:ascii="Arial" w:hAnsi="Arial" w:eastAsia="Arial" w:cs="Arial"/>
      <w:b/>
      <w:bCs/>
      <w:sz w:val="26"/>
      <w:szCs w:val="26"/>
    </w:rPr>
  </w:style>
  <w:style w:type="character" w:styleId="796">
    <w:name w:val="Heading 5 Char"/>
    <w:basedOn w:val="820"/>
    <w:link w:val="815"/>
    <w:uiPriority w:val="9"/>
    <w:rPr>
      <w:rFonts w:ascii="Arial" w:hAnsi="Arial" w:eastAsia="Arial" w:cs="Arial"/>
      <w:b/>
      <w:bCs/>
      <w:sz w:val="24"/>
      <w:szCs w:val="24"/>
    </w:rPr>
  </w:style>
  <w:style w:type="character" w:styleId="797">
    <w:name w:val="Heading 6 Char"/>
    <w:basedOn w:val="820"/>
    <w:link w:val="816"/>
    <w:uiPriority w:val="9"/>
    <w:rPr>
      <w:rFonts w:ascii="Arial" w:hAnsi="Arial" w:eastAsia="Arial" w:cs="Arial"/>
      <w:b/>
      <w:bCs/>
      <w:sz w:val="22"/>
      <w:szCs w:val="22"/>
    </w:rPr>
  </w:style>
  <w:style w:type="character" w:styleId="798">
    <w:name w:val="Heading 7 Char"/>
    <w:basedOn w:val="820"/>
    <w:link w:val="81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99">
    <w:name w:val="Heading 8 Char"/>
    <w:basedOn w:val="820"/>
    <w:link w:val="818"/>
    <w:uiPriority w:val="9"/>
    <w:rPr>
      <w:rFonts w:ascii="Arial" w:hAnsi="Arial" w:eastAsia="Arial" w:cs="Arial"/>
      <w:i/>
      <w:iCs/>
      <w:sz w:val="22"/>
      <w:szCs w:val="22"/>
    </w:rPr>
  </w:style>
  <w:style w:type="character" w:styleId="800">
    <w:name w:val="Heading 9 Char"/>
    <w:basedOn w:val="820"/>
    <w:link w:val="819"/>
    <w:uiPriority w:val="9"/>
    <w:rPr>
      <w:rFonts w:ascii="Arial" w:hAnsi="Arial" w:eastAsia="Arial" w:cs="Arial"/>
      <w:i/>
      <w:iCs/>
      <w:sz w:val="21"/>
      <w:szCs w:val="21"/>
    </w:rPr>
  </w:style>
  <w:style w:type="character" w:styleId="801">
    <w:name w:val="Title Char"/>
    <w:basedOn w:val="820"/>
    <w:link w:val="1007"/>
    <w:uiPriority w:val="10"/>
    <w:rPr>
      <w:sz w:val="48"/>
      <w:szCs w:val="48"/>
    </w:rPr>
  </w:style>
  <w:style w:type="character" w:styleId="802">
    <w:name w:val="Subtitle Char"/>
    <w:basedOn w:val="820"/>
    <w:link w:val="833"/>
    <w:uiPriority w:val="11"/>
    <w:rPr>
      <w:sz w:val="24"/>
      <w:szCs w:val="24"/>
    </w:rPr>
  </w:style>
  <w:style w:type="character" w:styleId="803">
    <w:name w:val="Quote Char"/>
    <w:link w:val="835"/>
    <w:uiPriority w:val="29"/>
    <w:rPr>
      <w:i/>
    </w:rPr>
  </w:style>
  <w:style w:type="character" w:styleId="804">
    <w:name w:val="Intense Quote Char"/>
    <w:link w:val="837"/>
    <w:uiPriority w:val="30"/>
    <w:rPr>
      <w:i/>
    </w:rPr>
  </w:style>
  <w:style w:type="character" w:styleId="805">
    <w:name w:val="Header Char"/>
    <w:basedOn w:val="820"/>
    <w:link w:val="1047"/>
    <w:uiPriority w:val="99"/>
  </w:style>
  <w:style w:type="character" w:styleId="806">
    <w:name w:val="Footer Char"/>
    <w:basedOn w:val="820"/>
    <w:link w:val="1021"/>
    <w:uiPriority w:val="99"/>
  </w:style>
  <w:style w:type="character" w:styleId="807">
    <w:name w:val="Caption Char"/>
    <w:basedOn w:val="1010"/>
    <w:link w:val="1021"/>
    <w:uiPriority w:val="99"/>
  </w:style>
  <w:style w:type="character" w:styleId="808">
    <w:name w:val="Footnote Text Char"/>
    <w:link w:val="1112"/>
    <w:uiPriority w:val="99"/>
    <w:rPr>
      <w:sz w:val="18"/>
    </w:rPr>
  </w:style>
  <w:style w:type="character" w:styleId="809">
    <w:name w:val="Endnote Text Char"/>
    <w:link w:val="968"/>
    <w:uiPriority w:val="99"/>
    <w:rPr>
      <w:sz w:val="20"/>
    </w:rPr>
  </w:style>
  <w:style w:type="paragraph" w:styleId="810" w:default="1">
    <w:name w:val="Normal"/>
    <w:qFormat/>
    <w:pPr>
      <w:spacing w:after="200" w:line="276" w:lineRule="auto"/>
    </w:pPr>
    <w:rPr>
      <w:rFonts w:ascii="Calibri" w:hAnsi="Calibri"/>
      <w:sz w:val="22"/>
      <w:szCs w:val="22"/>
      <w:lang w:eastAsia="ar-SA"/>
    </w:rPr>
  </w:style>
  <w:style w:type="paragraph" w:styleId="811">
    <w:name w:val="Heading 1"/>
    <w:basedOn w:val="810"/>
    <w:next w:val="810"/>
    <w:link w:val="823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812">
    <w:name w:val="Heading 2"/>
    <w:next w:val="1008"/>
    <w:link w:val="824"/>
    <w:qFormat/>
    <w:pPr>
      <w:numPr>
        <w:ilvl w:val="1"/>
        <w:numId w:val="2"/>
      </w:numPr>
      <w:jc w:val="center"/>
      <w:keepNext/>
      <w:spacing w:before="120" w:line="100" w:lineRule="atLeast"/>
      <w:widowControl w:val="off"/>
      <w:outlineLvl w:val="1"/>
    </w:pPr>
    <w:rPr>
      <w:rFonts w:eastAsia="DejaVu Sans" w:cs="font186"/>
      <w:b/>
      <w:sz w:val="32"/>
      <w:szCs w:val="32"/>
      <w:lang w:eastAsia="ar-SA"/>
    </w:rPr>
  </w:style>
  <w:style w:type="paragraph" w:styleId="813">
    <w:name w:val="Heading 3"/>
    <w:basedOn w:val="810"/>
    <w:next w:val="810"/>
    <w:link w:val="1001"/>
    <w:qFormat/>
    <w:pPr>
      <w:jc w:val="both"/>
      <w:keepNext/>
      <w:spacing w:before="360" w:after="0" w:line="240" w:lineRule="auto"/>
      <w:outlineLvl w:val="2"/>
    </w:pPr>
    <w:rPr>
      <w:rFonts w:ascii="Times New Roman" w:hAnsi="Times New Roman"/>
      <w:b/>
      <w:sz w:val="28"/>
      <w:szCs w:val="24"/>
      <w:lang w:eastAsia="ru-RU"/>
    </w:rPr>
  </w:style>
  <w:style w:type="paragraph" w:styleId="814">
    <w:name w:val="Heading 4"/>
    <w:basedOn w:val="810"/>
    <w:next w:val="810"/>
    <w:link w:val="826"/>
    <w:qFormat/>
    <w:pPr>
      <w:numPr>
        <w:ilvl w:val="3"/>
        <w:numId w:val="1"/>
      </w:numPr>
      <w:jc w:val="both"/>
      <w:keepNext/>
      <w:spacing w:before="240" w:after="0" w:line="240" w:lineRule="auto"/>
      <w:outlineLvl w:val="3"/>
    </w:pPr>
    <w:rPr>
      <w:rFonts w:ascii="Arial" w:hAnsi="Arial"/>
      <w:sz w:val="24"/>
      <w:szCs w:val="20"/>
      <w:lang w:eastAsia="ru-RU"/>
    </w:rPr>
  </w:style>
  <w:style w:type="paragraph" w:styleId="815">
    <w:name w:val="Heading 5"/>
    <w:basedOn w:val="810"/>
    <w:next w:val="810"/>
    <w:link w:val="827"/>
    <w:qFormat/>
    <w:pPr>
      <w:numPr>
        <w:ilvl w:val="4"/>
        <w:numId w:val="1"/>
      </w:numPr>
      <w:jc w:val="both"/>
      <w:spacing w:before="240" w:after="0" w:line="240" w:lineRule="auto"/>
      <w:outlineLvl w:val="4"/>
    </w:pPr>
    <w:rPr>
      <w:rFonts w:ascii="Times New Roman" w:hAnsi="Times New Roman"/>
      <w:szCs w:val="20"/>
      <w:lang w:eastAsia="ru-RU"/>
    </w:rPr>
  </w:style>
  <w:style w:type="paragraph" w:styleId="816">
    <w:name w:val="Heading 6"/>
    <w:basedOn w:val="810"/>
    <w:next w:val="810"/>
    <w:link w:val="828"/>
    <w:qFormat/>
    <w:pPr>
      <w:numPr>
        <w:ilvl w:val="5"/>
        <w:numId w:val="1"/>
      </w:numPr>
      <w:jc w:val="both"/>
      <w:spacing w:before="240" w:after="0" w:line="240" w:lineRule="auto"/>
      <w:outlineLvl w:val="5"/>
    </w:pPr>
    <w:rPr>
      <w:rFonts w:ascii="Times New Roman" w:hAnsi="Times New Roman"/>
      <w:i/>
      <w:szCs w:val="20"/>
      <w:lang w:eastAsia="ru-RU"/>
    </w:rPr>
  </w:style>
  <w:style w:type="paragraph" w:styleId="817">
    <w:name w:val="Heading 7"/>
    <w:basedOn w:val="810"/>
    <w:next w:val="810"/>
    <w:link w:val="829"/>
    <w:qFormat/>
    <w:pPr>
      <w:numPr>
        <w:ilvl w:val="6"/>
        <w:numId w:val="1"/>
      </w:numPr>
      <w:jc w:val="both"/>
      <w:spacing w:before="240" w:after="0" w:line="240" w:lineRule="auto"/>
      <w:outlineLvl w:val="6"/>
    </w:pPr>
    <w:rPr>
      <w:rFonts w:ascii="Arial" w:hAnsi="Arial"/>
      <w:sz w:val="20"/>
      <w:szCs w:val="20"/>
      <w:lang w:eastAsia="ru-RU"/>
    </w:rPr>
  </w:style>
  <w:style w:type="paragraph" w:styleId="818">
    <w:name w:val="Heading 8"/>
    <w:basedOn w:val="810"/>
    <w:next w:val="810"/>
    <w:link w:val="830"/>
    <w:qFormat/>
    <w:pPr>
      <w:numPr>
        <w:ilvl w:val="7"/>
        <w:numId w:val="1"/>
      </w:numPr>
      <w:jc w:val="both"/>
      <w:spacing w:before="240" w:after="0" w:line="240" w:lineRule="auto"/>
      <w:outlineLvl w:val="7"/>
    </w:pPr>
    <w:rPr>
      <w:rFonts w:ascii="Arial" w:hAnsi="Arial"/>
      <w:i/>
      <w:sz w:val="20"/>
      <w:szCs w:val="20"/>
      <w:lang w:eastAsia="ru-RU"/>
    </w:rPr>
  </w:style>
  <w:style w:type="paragraph" w:styleId="819">
    <w:name w:val="Heading 9"/>
    <w:basedOn w:val="810"/>
    <w:next w:val="810"/>
    <w:link w:val="831"/>
    <w:qFormat/>
    <w:pPr>
      <w:numPr>
        <w:ilvl w:val="8"/>
        <w:numId w:val="1"/>
      </w:numPr>
      <w:jc w:val="both"/>
      <w:spacing w:before="240" w:after="0" w:line="240" w:lineRule="auto"/>
      <w:outlineLvl w:val="8"/>
    </w:pPr>
    <w:rPr>
      <w:rFonts w:ascii="Arial" w:hAnsi="Arial"/>
      <w:b/>
      <w:i/>
      <w:sz w:val="18"/>
      <w:szCs w:val="20"/>
      <w:lang w:eastAsia="ru-RU"/>
    </w:rPr>
  </w:style>
  <w:style w:type="character" w:styleId="820" w:default="1">
    <w:name w:val="Default Paragraph Font"/>
    <w:uiPriority w:val="1"/>
    <w:semiHidden/>
    <w:unhideWhenUsed/>
  </w:style>
  <w:style w:type="table" w:styleId="82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22" w:default="1">
    <w:name w:val="No List"/>
    <w:uiPriority w:val="99"/>
    <w:semiHidden/>
    <w:unhideWhenUsed/>
  </w:style>
  <w:style w:type="character" w:styleId="823" w:customStyle="1">
    <w:name w:val="Заголовок 1 Знак"/>
    <w:basedOn w:val="820"/>
    <w:link w:val="811"/>
    <w:uiPriority w:val="9"/>
    <w:rPr>
      <w:rFonts w:ascii="Arial" w:hAnsi="Arial" w:eastAsia="Arial" w:cs="Arial"/>
      <w:sz w:val="40"/>
      <w:szCs w:val="40"/>
    </w:rPr>
  </w:style>
  <w:style w:type="character" w:styleId="824" w:customStyle="1">
    <w:name w:val="Заголовок 2 Знак1"/>
    <w:basedOn w:val="820"/>
    <w:link w:val="812"/>
    <w:uiPriority w:val="9"/>
    <w:rPr>
      <w:rFonts w:ascii="Arial" w:hAnsi="Arial" w:eastAsia="Arial" w:cs="Arial"/>
      <w:sz w:val="34"/>
    </w:rPr>
  </w:style>
  <w:style w:type="character" w:styleId="825" w:customStyle="1">
    <w:name w:val="Heading 3 Char"/>
    <w:basedOn w:val="820"/>
    <w:uiPriority w:val="9"/>
    <w:rPr>
      <w:rFonts w:ascii="Arial" w:hAnsi="Arial" w:eastAsia="Arial" w:cs="Arial"/>
      <w:sz w:val="30"/>
      <w:szCs w:val="30"/>
    </w:rPr>
  </w:style>
  <w:style w:type="character" w:styleId="826" w:customStyle="1">
    <w:name w:val="Заголовок 4 Знак"/>
    <w:basedOn w:val="820"/>
    <w:link w:val="814"/>
    <w:uiPriority w:val="9"/>
    <w:rPr>
      <w:rFonts w:ascii="Arial" w:hAnsi="Arial" w:eastAsia="Arial" w:cs="Arial"/>
      <w:b/>
      <w:bCs/>
      <w:sz w:val="26"/>
      <w:szCs w:val="26"/>
    </w:rPr>
  </w:style>
  <w:style w:type="character" w:styleId="827" w:customStyle="1">
    <w:name w:val="Заголовок 5 Знак"/>
    <w:basedOn w:val="820"/>
    <w:link w:val="815"/>
    <w:uiPriority w:val="9"/>
    <w:rPr>
      <w:rFonts w:ascii="Arial" w:hAnsi="Arial" w:eastAsia="Arial" w:cs="Arial"/>
      <w:b/>
      <w:bCs/>
      <w:sz w:val="24"/>
      <w:szCs w:val="24"/>
    </w:rPr>
  </w:style>
  <w:style w:type="character" w:styleId="828" w:customStyle="1">
    <w:name w:val="Заголовок 6 Знак"/>
    <w:basedOn w:val="820"/>
    <w:link w:val="816"/>
    <w:uiPriority w:val="9"/>
    <w:rPr>
      <w:rFonts w:ascii="Arial" w:hAnsi="Arial" w:eastAsia="Arial" w:cs="Arial"/>
      <w:b/>
      <w:bCs/>
      <w:sz w:val="22"/>
      <w:szCs w:val="22"/>
    </w:rPr>
  </w:style>
  <w:style w:type="character" w:styleId="829" w:customStyle="1">
    <w:name w:val="Заголовок 7 Знак"/>
    <w:basedOn w:val="820"/>
    <w:link w:val="81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30" w:customStyle="1">
    <w:name w:val="Заголовок 8 Знак"/>
    <w:basedOn w:val="820"/>
    <w:link w:val="818"/>
    <w:uiPriority w:val="9"/>
    <w:rPr>
      <w:rFonts w:ascii="Arial" w:hAnsi="Arial" w:eastAsia="Arial" w:cs="Arial"/>
      <w:i/>
      <w:iCs/>
      <w:sz w:val="22"/>
      <w:szCs w:val="22"/>
    </w:rPr>
  </w:style>
  <w:style w:type="character" w:styleId="831" w:customStyle="1">
    <w:name w:val="Заголовок 9 Знак"/>
    <w:basedOn w:val="820"/>
    <w:link w:val="819"/>
    <w:uiPriority w:val="9"/>
    <w:rPr>
      <w:rFonts w:ascii="Arial" w:hAnsi="Arial" w:eastAsia="Arial" w:cs="Arial"/>
      <w:i/>
      <w:iCs/>
      <w:sz w:val="21"/>
      <w:szCs w:val="21"/>
    </w:rPr>
  </w:style>
  <w:style w:type="character" w:styleId="832" w:customStyle="1">
    <w:name w:val="Заголовок Знак"/>
    <w:basedOn w:val="820"/>
    <w:link w:val="1007"/>
    <w:uiPriority w:val="10"/>
    <w:rPr>
      <w:sz w:val="48"/>
      <w:szCs w:val="48"/>
    </w:rPr>
  </w:style>
  <w:style w:type="paragraph" w:styleId="833">
    <w:name w:val="Subtitle"/>
    <w:basedOn w:val="810"/>
    <w:next w:val="810"/>
    <w:link w:val="834"/>
    <w:uiPriority w:val="11"/>
    <w:qFormat/>
    <w:pPr>
      <w:spacing w:before="200"/>
    </w:pPr>
    <w:rPr>
      <w:sz w:val="24"/>
      <w:szCs w:val="24"/>
    </w:rPr>
  </w:style>
  <w:style w:type="character" w:styleId="834" w:customStyle="1">
    <w:name w:val="Подзаголовок Знак"/>
    <w:basedOn w:val="820"/>
    <w:link w:val="833"/>
    <w:uiPriority w:val="11"/>
    <w:rPr>
      <w:sz w:val="24"/>
      <w:szCs w:val="24"/>
    </w:rPr>
  </w:style>
  <w:style w:type="paragraph" w:styleId="835">
    <w:name w:val="Quote"/>
    <w:basedOn w:val="810"/>
    <w:next w:val="810"/>
    <w:link w:val="836"/>
    <w:uiPriority w:val="29"/>
    <w:qFormat/>
    <w:pPr>
      <w:ind w:left="720" w:right="720"/>
    </w:pPr>
    <w:rPr>
      <w:i/>
    </w:rPr>
  </w:style>
  <w:style w:type="character" w:styleId="836" w:customStyle="1">
    <w:name w:val="Цитата 2 Знак"/>
    <w:link w:val="835"/>
    <w:uiPriority w:val="29"/>
    <w:rPr>
      <w:i/>
    </w:rPr>
  </w:style>
  <w:style w:type="paragraph" w:styleId="837">
    <w:name w:val="Intense Quote"/>
    <w:basedOn w:val="810"/>
    <w:next w:val="810"/>
    <w:link w:val="83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38" w:customStyle="1">
    <w:name w:val="Выделенная цитата Знак"/>
    <w:link w:val="837"/>
    <w:uiPriority w:val="30"/>
    <w:rPr>
      <w:i/>
    </w:rPr>
  </w:style>
  <w:style w:type="character" w:styleId="839" w:customStyle="1">
    <w:name w:val="Верхний колонтитул Знак"/>
    <w:basedOn w:val="820"/>
    <w:link w:val="1047"/>
    <w:uiPriority w:val="99"/>
  </w:style>
  <w:style w:type="character" w:styleId="840" w:customStyle="1">
    <w:name w:val="Нижний колонтитул Знак"/>
    <w:basedOn w:val="820"/>
    <w:link w:val="1021"/>
    <w:uiPriority w:val="99"/>
  </w:style>
  <w:style w:type="character" w:styleId="841" w:customStyle="1">
    <w:name w:val="Название объекта Знак"/>
    <w:basedOn w:val="820"/>
    <w:link w:val="1010"/>
    <w:uiPriority w:val="35"/>
    <w:rPr>
      <w:b/>
      <w:bCs/>
      <w:color w:val="4f81bd" w:themeColor="accent1"/>
      <w:sz w:val="18"/>
      <w:szCs w:val="18"/>
    </w:rPr>
  </w:style>
  <w:style w:type="table" w:styleId="842" w:customStyle="1">
    <w:name w:val="Table Grid Light"/>
    <w:basedOn w:val="82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43">
    <w:name w:val="Plain Table 1"/>
    <w:basedOn w:val="82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4">
    <w:name w:val="Plain Table 2"/>
    <w:basedOn w:val="82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5">
    <w:name w:val="Plain Table 3"/>
    <w:basedOn w:val="82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46">
    <w:name w:val="Plain Table 4"/>
    <w:basedOn w:val="82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Plain Table 5"/>
    <w:basedOn w:val="82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48">
    <w:name w:val="Grid Table 1 Light"/>
    <w:basedOn w:val="82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Grid Table 1 Light - Accent 1"/>
    <w:basedOn w:val="82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Grid Table 1 Light - Accent 2"/>
    <w:basedOn w:val="82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Grid Table 1 Light - Accent 3"/>
    <w:basedOn w:val="82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 w:customStyle="1">
    <w:name w:val="Grid Table 1 Light - Accent 4"/>
    <w:basedOn w:val="82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 w:customStyle="1">
    <w:name w:val="Grid Table 1 Light - Accent 5"/>
    <w:basedOn w:val="82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 w:customStyle="1">
    <w:name w:val="Grid Table 1 Light - Accent 6"/>
    <w:basedOn w:val="82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Grid Table 2"/>
    <w:basedOn w:val="82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Grid Table 2 - Accent 1"/>
    <w:basedOn w:val="82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Grid Table 2 - Accent 2"/>
    <w:basedOn w:val="82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Grid Table 2 - Accent 3"/>
    <w:basedOn w:val="82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Grid Table 2 - Accent 4"/>
    <w:basedOn w:val="82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 w:customStyle="1">
    <w:name w:val="Grid Table 2 - Accent 5"/>
    <w:basedOn w:val="82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Grid Table 2 - Accent 6"/>
    <w:basedOn w:val="82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3"/>
    <w:basedOn w:val="82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Grid Table 3 - Accent 1"/>
    <w:basedOn w:val="82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Grid Table 3 - Accent 2"/>
    <w:basedOn w:val="82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Grid Table 3 - Accent 3"/>
    <w:basedOn w:val="82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Grid Table 3 - Accent 4"/>
    <w:basedOn w:val="82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Grid Table 3 - Accent 5"/>
    <w:basedOn w:val="82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Grid Table 3 - Accent 6"/>
    <w:basedOn w:val="82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Grid Table 4"/>
    <w:basedOn w:val="82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70" w:customStyle="1">
    <w:name w:val="Grid Table 4 - Accent 1"/>
    <w:basedOn w:val="82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71" w:customStyle="1">
    <w:name w:val="Grid Table 4 - Accent 2"/>
    <w:basedOn w:val="82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72" w:customStyle="1">
    <w:name w:val="Grid Table 4 - Accent 3"/>
    <w:basedOn w:val="82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73" w:customStyle="1">
    <w:name w:val="Grid Table 4 - Accent 4"/>
    <w:basedOn w:val="82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74" w:customStyle="1">
    <w:name w:val="Grid Table 4 - Accent 5"/>
    <w:basedOn w:val="82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75" w:customStyle="1">
    <w:name w:val="Grid Table 4 - Accent 6"/>
    <w:basedOn w:val="82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76">
    <w:name w:val="Grid Table 5 Dark"/>
    <w:basedOn w:val="82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77" w:customStyle="1">
    <w:name w:val="Grid Table 5 Dark- Accent 1"/>
    <w:basedOn w:val="82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78" w:customStyle="1">
    <w:name w:val="Grid Table 5 Dark - Accent 2"/>
    <w:basedOn w:val="82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79" w:customStyle="1">
    <w:name w:val="Grid Table 5 Dark - Accent 3"/>
    <w:basedOn w:val="82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80" w:customStyle="1">
    <w:name w:val="Grid Table 5 Dark- Accent 4"/>
    <w:basedOn w:val="82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81" w:customStyle="1">
    <w:name w:val="Grid Table 5 Dark - Accent 5"/>
    <w:basedOn w:val="82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82" w:customStyle="1">
    <w:name w:val="Grid Table 5 Dark - Accent 6"/>
    <w:basedOn w:val="82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83">
    <w:name w:val="Grid Table 6 Colorful"/>
    <w:basedOn w:val="82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84" w:customStyle="1">
    <w:name w:val="Grid Table 6 Colorful - Accent 1"/>
    <w:basedOn w:val="82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85" w:customStyle="1">
    <w:name w:val="Grid Table 6 Colorful - Accent 2"/>
    <w:basedOn w:val="82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86" w:customStyle="1">
    <w:name w:val="Grid Table 6 Colorful - Accent 3"/>
    <w:basedOn w:val="82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87" w:customStyle="1">
    <w:name w:val="Grid Table 6 Colorful - Accent 4"/>
    <w:basedOn w:val="82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88" w:customStyle="1">
    <w:name w:val="Grid Table 6 Colorful - Accent 5"/>
    <w:basedOn w:val="82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89" w:customStyle="1">
    <w:name w:val="Grid Table 6 Colorful - Accent 6"/>
    <w:basedOn w:val="82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90">
    <w:name w:val="Grid Table 7 Colorful"/>
    <w:basedOn w:val="82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1" w:customStyle="1">
    <w:name w:val="Grid Table 7 Colorful - Accent 1"/>
    <w:basedOn w:val="82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2" w:customStyle="1">
    <w:name w:val="Grid Table 7 Colorful - Accent 2"/>
    <w:basedOn w:val="82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3" w:customStyle="1">
    <w:name w:val="Grid Table 7 Colorful - Accent 3"/>
    <w:basedOn w:val="82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4" w:customStyle="1">
    <w:name w:val="Grid Table 7 Colorful - Accent 4"/>
    <w:basedOn w:val="82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5" w:customStyle="1">
    <w:name w:val="Grid Table 7 Colorful - Accent 5"/>
    <w:basedOn w:val="82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6" w:customStyle="1">
    <w:name w:val="Grid Table 7 Colorful - Accent 6"/>
    <w:basedOn w:val="82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7">
    <w:name w:val="List Table 1 Light"/>
    <w:basedOn w:val="821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 w:customStyle="1">
    <w:name w:val="List Table 1 Light - Accent 1"/>
    <w:basedOn w:val="821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 w:customStyle="1">
    <w:name w:val="List Table 1 Light - Accent 2"/>
    <w:basedOn w:val="821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 w:customStyle="1">
    <w:name w:val="List Table 1 Light - Accent 3"/>
    <w:basedOn w:val="821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 w:customStyle="1">
    <w:name w:val="List Table 1 Light - Accent 4"/>
    <w:basedOn w:val="821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 w:customStyle="1">
    <w:name w:val="List Table 1 Light - Accent 5"/>
    <w:basedOn w:val="821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 w:customStyle="1">
    <w:name w:val="List Table 1 Light - Accent 6"/>
    <w:basedOn w:val="821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>
    <w:name w:val="List Table 2"/>
    <w:basedOn w:val="82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05" w:customStyle="1">
    <w:name w:val="List Table 2 - Accent 1"/>
    <w:basedOn w:val="82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906" w:customStyle="1">
    <w:name w:val="List Table 2 - Accent 2"/>
    <w:basedOn w:val="82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907" w:customStyle="1">
    <w:name w:val="List Table 2 - Accent 3"/>
    <w:basedOn w:val="82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908" w:customStyle="1">
    <w:name w:val="List Table 2 - Accent 4"/>
    <w:basedOn w:val="82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909" w:customStyle="1">
    <w:name w:val="List Table 2 - Accent 5"/>
    <w:basedOn w:val="82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910" w:customStyle="1">
    <w:name w:val="List Table 2 - Accent 6"/>
    <w:basedOn w:val="82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911">
    <w:name w:val="List Table 3"/>
    <w:basedOn w:val="82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 w:customStyle="1">
    <w:name w:val="List Table 3 - Accent 1"/>
    <w:basedOn w:val="82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 w:customStyle="1">
    <w:name w:val="List Table 3 - Accent 2"/>
    <w:basedOn w:val="82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 w:customStyle="1">
    <w:name w:val="List Table 3 - Accent 3"/>
    <w:basedOn w:val="82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 w:customStyle="1">
    <w:name w:val="List Table 3 - Accent 4"/>
    <w:basedOn w:val="82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 w:customStyle="1">
    <w:name w:val="List Table 3 - Accent 5"/>
    <w:basedOn w:val="82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 w:customStyle="1">
    <w:name w:val="List Table 3 - Accent 6"/>
    <w:basedOn w:val="82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>
    <w:name w:val="List Table 4"/>
    <w:basedOn w:val="82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 w:customStyle="1">
    <w:name w:val="List Table 4 - Accent 1"/>
    <w:basedOn w:val="82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 w:customStyle="1">
    <w:name w:val="List Table 4 - Accent 2"/>
    <w:basedOn w:val="82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 w:customStyle="1">
    <w:name w:val="List Table 4 - Accent 3"/>
    <w:basedOn w:val="82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 w:customStyle="1">
    <w:name w:val="List Table 4 - Accent 4"/>
    <w:basedOn w:val="82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 w:customStyle="1">
    <w:name w:val="List Table 4 - Accent 5"/>
    <w:basedOn w:val="82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4" w:customStyle="1">
    <w:name w:val="List Table 4 - Accent 6"/>
    <w:basedOn w:val="82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5">
    <w:name w:val="List Table 5 Dark"/>
    <w:basedOn w:val="82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6" w:customStyle="1">
    <w:name w:val="List Table 5 Dark - Accent 1"/>
    <w:basedOn w:val="82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7" w:customStyle="1">
    <w:name w:val="List Table 5 Dark - Accent 2"/>
    <w:basedOn w:val="82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8" w:customStyle="1">
    <w:name w:val="List Table 5 Dark - Accent 3"/>
    <w:basedOn w:val="82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9" w:customStyle="1">
    <w:name w:val="List Table 5 Dark - Accent 4"/>
    <w:basedOn w:val="82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0" w:customStyle="1">
    <w:name w:val="List Table 5 Dark - Accent 5"/>
    <w:basedOn w:val="82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1" w:customStyle="1">
    <w:name w:val="List Table 5 Dark - Accent 6"/>
    <w:basedOn w:val="82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2">
    <w:name w:val="List Table 6 Colorful"/>
    <w:basedOn w:val="82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33" w:customStyle="1">
    <w:name w:val="List Table 6 Colorful - Accent 1"/>
    <w:basedOn w:val="82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34" w:customStyle="1">
    <w:name w:val="List Table 6 Colorful - Accent 2"/>
    <w:basedOn w:val="82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35" w:customStyle="1">
    <w:name w:val="List Table 6 Colorful - Accent 3"/>
    <w:basedOn w:val="82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36" w:customStyle="1">
    <w:name w:val="List Table 6 Colorful - Accent 4"/>
    <w:basedOn w:val="82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37" w:customStyle="1">
    <w:name w:val="List Table 6 Colorful - Accent 5"/>
    <w:basedOn w:val="82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38" w:customStyle="1">
    <w:name w:val="List Table 6 Colorful - Accent 6"/>
    <w:basedOn w:val="82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39">
    <w:name w:val="List Table 7 Colorful"/>
    <w:basedOn w:val="82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0" w:customStyle="1">
    <w:name w:val="List Table 7 Colorful - Accent 1"/>
    <w:basedOn w:val="821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1" w:customStyle="1">
    <w:name w:val="List Table 7 Colorful - Accent 2"/>
    <w:basedOn w:val="82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2" w:customStyle="1">
    <w:name w:val="List Table 7 Colorful - Accent 3"/>
    <w:basedOn w:val="82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3" w:customStyle="1">
    <w:name w:val="List Table 7 Colorful - Accent 4"/>
    <w:basedOn w:val="82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4" w:customStyle="1">
    <w:name w:val="List Table 7 Colorful - Accent 5"/>
    <w:basedOn w:val="82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5" w:customStyle="1">
    <w:name w:val="List Table 7 Colorful - Accent 6"/>
    <w:basedOn w:val="82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6" w:customStyle="1">
    <w:name w:val="Lined - Accent"/>
    <w:basedOn w:val="82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47" w:customStyle="1">
    <w:name w:val="Lined - Accent 1"/>
    <w:basedOn w:val="82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48" w:customStyle="1">
    <w:name w:val="Lined - Accent 2"/>
    <w:basedOn w:val="82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49" w:customStyle="1">
    <w:name w:val="Lined - Accent 3"/>
    <w:basedOn w:val="82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50" w:customStyle="1">
    <w:name w:val="Lined - Accent 4"/>
    <w:basedOn w:val="82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51" w:customStyle="1">
    <w:name w:val="Lined - Accent 5"/>
    <w:basedOn w:val="82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52" w:customStyle="1">
    <w:name w:val="Lined - Accent 6"/>
    <w:basedOn w:val="82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53" w:customStyle="1">
    <w:name w:val="Bordered &amp; Lined - Accent"/>
    <w:basedOn w:val="821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54" w:customStyle="1">
    <w:name w:val="Bordered &amp; Lined - Accent 1"/>
    <w:basedOn w:val="821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55" w:customStyle="1">
    <w:name w:val="Bordered &amp; Lined - Accent 2"/>
    <w:basedOn w:val="821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56" w:customStyle="1">
    <w:name w:val="Bordered &amp; Lined - Accent 3"/>
    <w:basedOn w:val="821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57" w:customStyle="1">
    <w:name w:val="Bordered &amp; Lined - Accent 4"/>
    <w:basedOn w:val="821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58" w:customStyle="1">
    <w:name w:val="Bordered &amp; Lined - Accent 5"/>
    <w:basedOn w:val="821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59" w:customStyle="1">
    <w:name w:val="Bordered &amp; Lined - Accent 6"/>
    <w:basedOn w:val="821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60" w:customStyle="1">
    <w:name w:val="Bordered"/>
    <w:basedOn w:val="82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61" w:customStyle="1">
    <w:name w:val="Bordered - Accent 1"/>
    <w:basedOn w:val="82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62" w:customStyle="1">
    <w:name w:val="Bordered - Accent 2"/>
    <w:basedOn w:val="82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63" w:customStyle="1">
    <w:name w:val="Bordered - Accent 3"/>
    <w:basedOn w:val="82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64" w:customStyle="1">
    <w:name w:val="Bordered - Accent 4"/>
    <w:basedOn w:val="82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65" w:customStyle="1">
    <w:name w:val="Bordered - Accent 5"/>
    <w:basedOn w:val="82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66" w:customStyle="1">
    <w:name w:val="Bordered - Accent 6"/>
    <w:basedOn w:val="82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67" w:customStyle="1">
    <w:name w:val="Текст сноски Знак1"/>
    <w:link w:val="1112"/>
    <w:uiPriority w:val="99"/>
    <w:rPr>
      <w:sz w:val="18"/>
    </w:rPr>
  </w:style>
  <w:style w:type="paragraph" w:styleId="968">
    <w:name w:val="endnote text"/>
    <w:basedOn w:val="810"/>
    <w:link w:val="969"/>
    <w:uiPriority w:val="99"/>
    <w:semiHidden/>
    <w:unhideWhenUsed/>
    <w:pPr>
      <w:spacing w:after="0" w:line="240" w:lineRule="auto"/>
    </w:pPr>
    <w:rPr>
      <w:sz w:val="20"/>
    </w:rPr>
  </w:style>
  <w:style w:type="character" w:styleId="969" w:customStyle="1">
    <w:name w:val="Текст концевой сноски Знак"/>
    <w:link w:val="968"/>
    <w:uiPriority w:val="99"/>
    <w:rPr>
      <w:sz w:val="20"/>
    </w:rPr>
  </w:style>
  <w:style w:type="character" w:styleId="970">
    <w:name w:val="endnote reference"/>
    <w:basedOn w:val="820"/>
    <w:uiPriority w:val="99"/>
    <w:semiHidden/>
    <w:unhideWhenUsed/>
    <w:rPr>
      <w:vertAlign w:val="superscript"/>
    </w:rPr>
  </w:style>
  <w:style w:type="paragraph" w:styleId="971">
    <w:name w:val="toc 1"/>
    <w:basedOn w:val="810"/>
    <w:next w:val="810"/>
    <w:uiPriority w:val="39"/>
    <w:unhideWhenUsed/>
    <w:pPr>
      <w:spacing w:after="57"/>
    </w:pPr>
  </w:style>
  <w:style w:type="paragraph" w:styleId="972">
    <w:name w:val="toc 2"/>
    <w:basedOn w:val="810"/>
    <w:next w:val="810"/>
    <w:uiPriority w:val="39"/>
    <w:unhideWhenUsed/>
    <w:pPr>
      <w:ind w:left="283"/>
      <w:spacing w:after="57"/>
    </w:pPr>
  </w:style>
  <w:style w:type="paragraph" w:styleId="973">
    <w:name w:val="toc 3"/>
    <w:basedOn w:val="810"/>
    <w:next w:val="810"/>
    <w:uiPriority w:val="39"/>
    <w:unhideWhenUsed/>
    <w:pPr>
      <w:ind w:left="567"/>
      <w:spacing w:after="57"/>
    </w:pPr>
  </w:style>
  <w:style w:type="paragraph" w:styleId="974">
    <w:name w:val="toc 4"/>
    <w:basedOn w:val="810"/>
    <w:next w:val="810"/>
    <w:uiPriority w:val="39"/>
    <w:unhideWhenUsed/>
    <w:pPr>
      <w:ind w:left="850"/>
      <w:spacing w:after="57"/>
    </w:pPr>
  </w:style>
  <w:style w:type="paragraph" w:styleId="975">
    <w:name w:val="toc 5"/>
    <w:basedOn w:val="810"/>
    <w:next w:val="810"/>
    <w:uiPriority w:val="39"/>
    <w:unhideWhenUsed/>
    <w:pPr>
      <w:ind w:left="1134"/>
      <w:spacing w:after="57"/>
    </w:pPr>
  </w:style>
  <w:style w:type="paragraph" w:styleId="976">
    <w:name w:val="toc 6"/>
    <w:basedOn w:val="810"/>
    <w:next w:val="810"/>
    <w:uiPriority w:val="39"/>
    <w:unhideWhenUsed/>
    <w:pPr>
      <w:ind w:left="1417"/>
      <w:spacing w:after="57"/>
    </w:pPr>
  </w:style>
  <w:style w:type="paragraph" w:styleId="977">
    <w:name w:val="toc 7"/>
    <w:basedOn w:val="810"/>
    <w:next w:val="810"/>
    <w:uiPriority w:val="39"/>
    <w:unhideWhenUsed/>
    <w:pPr>
      <w:ind w:left="1701"/>
      <w:spacing w:after="57"/>
    </w:pPr>
  </w:style>
  <w:style w:type="paragraph" w:styleId="978">
    <w:name w:val="toc 8"/>
    <w:basedOn w:val="810"/>
    <w:next w:val="810"/>
    <w:uiPriority w:val="39"/>
    <w:unhideWhenUsed/>
    <w:pPr>
      <w:ind w:left="1984"/>
      <w:spacing w:after="57"/>
    </w:pPr>
  </w:style>
  <w:style w:type="paragraph" w:styleId="979">
    <w:name w:val="toc 9"/>
    <w:basedOn w:val="810"/>
    <w:next w:val="810"/>
    <w:uiPriority w:val="39"/>
    <w:unhideWhenUsed/>
    <w:pPr>
      <w:ind w:left="2268"/>
      <w:spacing w:after="57"/>
    </w:pPr>
  </w:style>
  <w:style w:type="paragraph" w:styleId="980">
    <w:name w:val="TOC Heading"/>
    <w:uiPriority w:val="39"/>
    <w:unhideWhenUsed/>
  </w:style>
  <w:style w:type="paragraph" w:styleId="981">
    <w:name w:val="table of figures"/>
    <w:basedOn w:val="810"/>
    <w:next w:val="810"/>
    <w:uiPriority w:val="99"/>
    <w:unhideWhenUsed/>
    <w:pPr>
      <w:spacing w:after="0"/>
    </w:pPr>
  </w:style>
  <w:style w:type="character" w:styleId="982" w:customStyle="1">
    <w:name w:val="Заголовок 2 Знак"/>
    <w:qFormat/>
    <w:rPr>
      <w:rFonts w:ascii="Times New Roman" w:hAnsi="Times New Roman" w:eastAsia="Times New Roman" w:cs="Times New Roman"/>
      <w:b/>
      <w:sz w:val="32"/>
      <w:szCs w:val="32"/>
    </w:rPr>
  </w:style>
  <w:style w:type="character" w:styleId="983" w:customStyle="1">
    <w:name w:val="Основной текст 2 Знак"/>
    <w:qFormat/>
    <w:rPr>
      <w:rFonts w:ascii="Times New Roman" w:hAnsi="Times New Roman" w:eastAsia="Times New Roman" w:cs="Times New Roman"/>
      <w:sz w:val="24"/>
      <w:szCs w:val="20"/>
    </w:rPr>
  </w:style>
  <w:style w:type="character" w:styleId="984" w:customStyle="1">
    <w:name w:val="Основной текст с отступом 2 Знак"/>
    <w:qFormat/>
    <w:rPr>
      <w:rFonts w:ascii="Calibri" w:hAnsi="Calibri" w:eastAsia="Times New Roman" w:cs="Times New Roman"/>
    </w:rPr>
  </w:style>
  <w:style w:type="character" w:styleId="985">
    <w:name w:val="page number"/>
    <w:basedOn w:val="820"/>
    <w:qFormat/>
  </w:style>
  <w:style w:type="character" w:styleId="986" w:customStyle="1">
    <w:name w:val="Основной текст с отступом 3 Знак"/>
    <w:basedOn w:val="820"/>
    <w:link w:val="1026"/>
    <w:qFormat/>
    <w:rPr>
      <w:rFonts w:ascii="Calibri" w:hAnsi="Calibri"/>
      <w:sz w:val="16"/>
      <w:szCs w:val="16"/>
      <w:lang w:val="ru-RU" w:eastAsia="ar-SA" w:bidi="ar-SA"/>
    </w:rPr>
  </w:style>
  <w:style w:type="character" w:styleId="987" w:customStyle="1">
    <w:name w:val="Не вступил в силу"/>
    <w:basedOn w:val="820"/>
    <w:qFormat/>
    <w:rPr>
      <w:rFonts w:cs="Times New Roman"/>
      <w:color w:val="008080"/>
      <w:sz w:val="20"/>
      <w:szCs w:val="20"/>
    </w:rPr>
  </w:style>
  <w:style w:type="character" w:styleId="988" w:customStyle="1">
    <w:name w:val="Цветовое выделение"/>
    <w:qFormat/>
    <w:rPr>
      <w:b/>
      <w:bCs/>
      <w:color w:val="000080"/>
      <w:sz w:val="20"/>
      <w:szCs w:val="20"/>
    </w:rPr>
  </w:style>
  <w:style w:type="character" w:styleId="989">
    <w:name w:val="Hyperlink"/>
    <w:basedOn w:val="820"/>
    <w:uiPriority w:val="99"/>
    <w:rPr>
      <w:color w:val="0000ff"/>
      <w:u w:val="single"/>
    </w:rPr>
  </w:style>
  <w:style w:type="character" w:styleId="990" w:customStyle="1">
    <w:name w:val="Основной шрифт"/>
    <w:semiHidden/>
    <w:qFormat/>
  </w:style>
  <w:style w:type="character" w:styleId="991">
    <w:name w:val="FollowedHyperlink"/>
    <w:basedOn w:val="820"/>
    <w:rPr>
      <w:color w:val="800080"/>
      <w:u w:val="single"/>
    </w:rPr>
  </w:style>
  <w:style w:type="character" w:styleId="992">
    <w:name w:val="Strong"/>
    <w:basedOn w:val="820"/>
    <w:qFormat/>
    <w:rPr>
      <w:b/>
      <w:bCs/>
    </w:rPr>
  </w:style>
  <w:style w:type="character" w:styleId="993" w:customStyle="1">
    <w:name w:val="bl1"/>
    <w:basedOn w:val="820"/>
    <w:qFormat/>
    <w:rPr>
      <w:color w:val="4288b8"/>
    </w:rPr>
  </w:style>
  <w:style w:type="character" w:styleId="994" w:customStyle="1">
    <w:name w:val="style11"/>
    <w:basedOn w:val="820"/>
    <w:qFormat/>
    <w:rPr>
      <w:b/>
      <w:bCs/>
      <w:color w:val="000000"/>
    </w:rPr>
  </w:style>
  <w:style w:type="character" w:styleId="995" w:customStyle="1">
    <w:name w:val="Символы концевой сноски"/>
    <w:qFormat/>
    <w:rPr>
      <w:vertAlign w:val="superscript"/>
    </w:rPr>
  </w:style>
  <w:style w:type="character" w:styleId="996" w:customStyle="1">
    <w:name w:val="Знак концевой сноски1"/>
    <w:qFormat/>
    <w:rPr>
      <w:vertAlign w:val="superscript"/>
    </w:rPr>
  </w:style>
  <w:style w:type="character" w:styleId="997" w:customStyle="1">
    <w:name w:val="Основной текст Знак"/>
    <w:basedOn w:val="820"/>
    <w:link w:val="1008"/>
    <w:qFormat/>
    <w:rPr>
      <w:rFonts w:ascii="Calibri" w:hAnsi="Calibri"/>
      <w:sz w:val="22"/>
      <w:szCs w:val="22"/>
      <w:lang w:eastAsia="ar-SA"/>
    </w:rPr>
  </w:style>
  <w:style w:type="character" w:styleId="998" w:customStyle="1">
    <w:name w:val="Текст сноски Знак"/>
    <w:basedOn w:val="820"/>
    <w:uiPriority w:val="99"/>
    <w:qFormat/>
    <w:rPr>
      <w:rFonts w:ascii="Calibri" w:hAnsi="Calibri" w:eastAsia="Calibri"/>
      <w:lang w:eastAsia="en-US"/>
    </w:rPr>
  </w:style>
  <w:style w:type="character" w:styleId="999" w:customStyle="1">
    <w:name w:val="Символ сноски"/>
    <w:uiPriority w:val="99"/>
    <w:unhideWhenUsed/>
    <w:qFormat/>
    <w:rPr>
      <w:vertAlign w:val="superscript"/>
    </w:rPr>
  </w:style>
  <w:style w:type="character" w:styleId="1000">
    <w:name w:val="footnote reference"/>
    <w:rPr>
      <w:vertAlign w:val="superscript"/>
    </w:rPr>
  </w:style>
  <w:style w:type="character" w:styleId="1001" w:customStyle="1">
    <w:name w:val="Заголовок 3 Знак"/>
    <w:basedOn w:val="820"/>
    <w:link w:val="813"/>
    <w:qFormat/>
    <w:rPr>
      <w:b/>
      <w:sz w:val="28"/>
      <w:szCs w:val="24"/>
    </w:rPr>
  </w:style>
  <w:style w:type="character" w:styleId="1002" w:customStyle="1">
    <w:name w:val="Без интервала Знак"/>
    <w:link w:val="1120"/>
    <w:uiPriority w:val="1"/>
    <w:qFormat/>
    <w:rPr>
      <w:rFonts w:ascii="Calibri" w:hAnsi="Calibri"/>
      <w:sz w:val="22"/>
      <w:szCs w:val="22"/>
    </w:rPr>
  </w:style>
  <w:style w:type="character" w:styleId="1003">
    <w:name w:val="annotation reference"/>
    <w:basedOn w:val="820"/>
    <w:uiPriority w:val="99"/>
    <w:qFormat/>
    <w:rPr>
      <w:sz w:val="16"/>
      <w:szCs w:val="16"/>
    </w:rPr>
  </w:style>
  <w:style w:type="character" w:styleId="1004" w:customStyle="1">
    <w:name w:val="Текст примечания Знак"/>
    <w:basedOn w:val="820"/>
    <w:link w:val="1121"/>
    <w:qFormat/>
    <w:rPr>
      <w:rFonts w:ascii="Calibri" w:hAnsi="Calibri"/>
      <w:lang w:eastAsia="ar-SA"/>
    </w:rPr>
  </w:style>
  <w:style w:type="character" w:styleId="1005" w:customStyle="1">
    <w:name w:val="Тема примечания Знак"/>
    <w:basedOn w:val="1004"/>
    <w:link w:val="1122"/>
    <w:qFormat/>
    <w:rPr>
      <w:rFonts w:ascii="Calibri" w:hAnsi="Calibri"/>
      <w:b/>
      <w:bCs/>
      <w:lang w:eastAsia="ar-SA"/>
    </w:rPr>
  </w:style>
  <w:style w:type="character" w:styleId="1006">
    <w:name w:val="Emphasis"/>
    <w:qFormat/>
    <w:rPr>
      <w:i/>
      <w:iCs/>
    </w:rPr>
  </w:style>
  <w:style w:type="paragraph" w:styleId="1007">
    <w:name w:val="Title"/>
    <w:basedOn w:val="810"/>
    <w:next w:val="1008"/>
    <w:link w:val="832"/>
    <w:qFormat/>
    <w:pPr>
      <w:jc w:val="center"/>
      <w:spacing w:before="240" w:after="0" w:line="240" w:lineRule="auto"/>
      <w:outlineLvl w:val="0"/>
    </w:pPr>
    <w:rPr>
      <w:rFonts w:ascii="Arial" w:hAnsi="Arial"/>
      <w:b/>
      <w:sz w:val="32"/>
      <w:szCs w:val="20"/>
      <w:lang w:eastAsia="ru-RU"/>
    </w:rPr>
  </w:style>
  <w:style w:type="paragraph" w:styleId="1008">
    <w:name w:val="Body Text"/>
    <w:basedOn w:val="810"/>
    <w:link w:val="997"/>
    <w:pPr>
      <w:spacing w:after="120"/>
    </w:pPr>
  </w:style>
  <w:style w:type="paragraph" w:styleId="1009">
    <w:name w:val="List"/>
    <w:basedOn w:val="1008"/>
  </w:style>
  <w:style w:type="paragraph" w:styleId="1010">
    <w:name w:val="Caption"/>
    <w:basedOn w:val="810"/>
    <w:link w:val="841"/>
    <w:qFormat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1011">
    <w:name w:val="index heading"/>
    <w:basedOn w:val="810"/>
    <w:qFormat/>
    <w:pPr>
      <w:suppressLineNumbers/>
    </w:pPr>
    <w:rPr>
      <w:rFonts w:ascii="PT Astra Serif" w:hAnsi="PT Astra Serif" w:cs="Noto Sans Devanagari"/>
    </w:rPr>
  </w:style>
  <w:style w:type="paragraph" w:styleId="1012" w:customStyle="1">
    <w:name w:val="Заголовок1"/>
    <w:basedOn w:val="810"/>
    <w:next w:val="1008"/>
    <w:qFormat/>
    <w:pPr>
      <w:keepNext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1013" w:customStyle="1">
    <w:name w:val="Название1"/>
    <w:basedOn w:val="810"/>
    <w:qFormat/>
    <w:pPr>
      <w:spacing w:before="120" w:after="120"/>
      <w:suppressLineNumbers/>
    </w:pPr>
    <w:rPr>
      <w:i/>
      <w:iCs/>
      <w:sz w:val="24"/>
      <w:szCs w:val="24"/>
    </w:rPr>
  </w:style>
  <w:style w:type="paragraph" w:styleId="1014" w:customStyle="1">
    <w:name w:val="Указатель1"/>
    <w:basedOn w:val="810"/>
    <w:qFormat/>
    <w:pPr>
      <w:suppressLineNumbers/>
    </w:pPr>
  </w:style>
  <w:style w:type="paragraph" w:styleId="1015" w:customStyle="1">
    <w:name w:val="Подраздел"/>
    <w:qFormat/>
    <w:pPr>
      <w:jc w:val="center"/>
      <w:spacing w:before="240" w:after="120" w:line="100" w:lineRule="atLeast"/>
      <w:widowControl w:val="off"/>
    </w:pPr>
    <w:rPr>
      <w:rFonts w:ascii="TimesDL" w:hAnsi="TimesDL" w:eastAsia="DejaVu Sans" w:cs="font186"/>
      <w:b/>
      <w:smallCaps/>
      <w:spacing w:val="-2"/>
      <w:sz w:val="24"/>
      <w:lang w:eastAsia="ar-SA"/>
    </w:rPr>
  </w:style>
  <w:style w:type="paragraph" w:styleId="1016">
    <w:name w:val="Normal (Web)"/>
    <w:qFormat/>
    <w:pPr>
      <w:spacing w:after="200" w:line="276" w:lineRule="auto"/>
      <w:widowControl w:val="off"/>
    </w:pPr>
    <w:rPr>
      <w:rFonts w:ascii="Calibri" w:hAnsi="Calibri" w:eastAsia="DejaVu Sans" w:cs="font186"/>
      <w:sz w:val="22"/>
      <w:szCs w:val="22"/>
      <w:lang w:eastAsia="ar-SA"/>
    </w:rPr>
  </w:style>
  <w:style w:type="paragraph" w:styleId="1017">
    <w:name w:val="Body Text 2"/>
    <w:qFormat/>
    <w:pPr>
      <w:jc w:val="both"/>
      <w:spacing w:before="120" w:line="100" w:lineRule="atLeast"/>
      <w:widowControl w:val="off"/>
    </w:pPr>
    <w:rPr>
      <w:rFonts w:eastAsia="DejaVu Sans" w:cs="font186"/>
      <w:sz w:val="24"/>
      <w:lang w:eastAsia="ar-SA"/>
    </w:rPr>
  </w:style>
  <w:style w:type="paragraph" w:styleId="1018" w:customStyle="1">
    <w:name w:val="Условия контракта"/>
    <w:qFormat/>
    <w:pPr>
      <w:jc w:val="both"/>
      <w:spacing w:before="240" w:after="120" w:line="100" w:lineRule="atLeast"/>
      <w:widowControl w:val="off"/>
    </w:pPr>
    <w:rPr>
      <w:rFonts w:eastAsia="DejaVu Sans" w:cs="font186"/>
      <w:b/>
      <w:sz w:val="24"/>
      <w:lang w:eastAsia="ar-SA"/>
    </w:rPr>
  </w:style>
  <w:style w:type="paragraph" w:styleId="1019">
    <w:name w:val="Body Text Indent 2"/>
    <w:qFormat/>
    <w:pPr>
      <w:ind w:left="283"/>
      <w:spacing w:after="120" w:line="480" w:lineRule="auto"/>
      <w:widowControl w:val="off"/>
    </w:pPr>
    <w:rPr>
      <w:rFonts w:ascii="Calibri" w:hAnsi="Calibri" w:eastAsia="DejaVu Sans" w:cs="font186"/>
      <w:sz w:val="22"/>
      <w:szCs w:val="22"/>
      <w:lang w:eastAsia="ar-SA"/>
    </w:rPr>
  </w:style>
  <w:style w:type="paragraph" w:styleId="1020" w:customStyle="1">
    <w:name w:val="Колонтитул"/>
    <w:basedOn w:val="810"/>
    <w:qFormat/>
  </w:style>
  <w:style w:type="paragraph" w:styleId="1021">
    <w:name w:val="Footer"/>
    <w:basedOn w:val="810"/>
    <w:link w:val="840"/>
    <w:pPr>
      <w:tabs>
        <w:tab w:val="center" w:pos="4320" w:leader="none"/>
        <w:tab w:val="right" w:pos="8640" w:leader="none"/>
      </w:tabs>
    </w:pPr>
  </w:style>
  <w:style w:type="paragraph" w:styleId="1022" w:customStyle="1">
    <w:name w:val="ConsPlusNormal"/>
    <w:qFormat/>
    <w:pPr>
      <w:ind w:firstLine="720"/>
    </w:pPr>
    <w:rPr>
      <w:rFonts w:ascii="Arial" w:hAnsi="Arial" w:cs="Arial"/>
    </w:rPr>
  </w:style>
  <w:style w:type="paragraph" w:styleId="1023" w:customStyle="1">
    <w:name w:val="Стиль3 Знак Знак"/>
    <w:basedOn w:val="1019"/>
    <w:qFormat/>
    <w:pPr>
      <w:ind w:left="391"/>
      <w:jc w:val="both"/>
      <w:spacing w:before="120" w:after="0" w:line="240" w:lineRule="auto"/>
      <w:tabs>
        <w:tab w:val="left" w:pos="618" w:leader="none"/>
      </w:tabs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1024" w:customStyle="1">
    <w:name w:val="Стиль2"/>
    <w:basedOn w:val="1025"/>
    <w:qFormat/>
    <w:pPr>
      <w:ind w:left="576" w:hanging="576"/>
      <w:jc w:val="both"/>
      <w:keepLines/>
      <w:keepNext/>
      <w:spacing w:before="120" w:after="0" w:line="240" w:lineRule="auto"/>
      <w:widowControl w:val="off"/>
      <w:tabs>
        <w:tab w:val="left" w:pos="576" w:leader="none"/>
        <w:tab w:val="clear" w:pos="643" w:leader="none"/>
      </w:tabs>
      <w:suppressLineNumbers/>
    </w:pPr>
    <w:rPr>
      <w:rFonts w:ascii="Times New Roman" w:hAnsi="Times New Roman"/>
      <w:b/>
      <w:sz w:val="24"/>
      <w:szCs w:val="20"/>
      <w:lang w:eastAsia="ru-RU"/>
    </w:rPr>
  </w:style>
  <w:style w:type="paragraph" w:styleId="1025">
    <w:name w:val="List Number 2"/>
    <w:basedOn w:val="810"/>
    <w:qFormat/>
    <w:pPr>
      <w:ind w:left="643" w:hanging="360"/>
      <w:tabs>
        <w:tab w:val="left" w:pos="643" w:leader="none"/>
      </w:tabs>
    </w:pPr>
  </w:style>
  <w:style w:type="paragraph" w:styleId="1026">
    <w:name w:val="Body Text Indent 3"/>
    <w:basedOn w:val="810"/>
    <w:link w:val="986"/>
    <w:qFormat/>
    <w:pPr>
      <w:ind w:left="360"/>
      <w:spacing w:after="120"/>
    </w:pPr>
    <w:rPr>
      <w:sz w:val="16"/>
      <w:szCs w:val="16"/>
    </w:rPr>
  </w:style>
  <w:style w:type="paragraph" w:styleId="1027">
    <w:name w:val="Body Text Indent"/>
    <w:basedOn w:val="810"/>
    <w:pPr>
      <w:ind w:left="283"/>
      <w:spacing w:after="120"/>
    </w:pPr>
  </w:style>
  <w:style w:type="paragraph" w:styleId="1028">
    <w:name w:val="List Bullet 2"/>
    <w:basedOn w:val="810"/>
    <w:qFormat/>
    <w:pPr>
      <w:numPr>
        <w:ilvl w:val="0"/>
        <w:numId w:val="3"/>
      </w:numPr>
      <w:jc w:val="both"/>
      <w:spacing w:before="120" w:after="0" w:line="240" w:lineRule="auto"/>
    </w:pPr>
    <w:rPr>
      <w:rFonts w:ascii="Times New Roman" w:hAnsi="Times New Roman"/>
      <w:sz w:val="24"/>
      <w:szCs w:val="20"/>
      <w:lang w:eastAsia="ru-RU"/>
    </w:rPr>
  </w:style>
  <w:style w:type="paragraph" w:styleId="1029">
    <w:name w:val="List Bullet 3"/>
    <w:basedOn w:val="810"/>
    <w:qFormat/>
    <w:pPr>
      <w:numPr>
        <w:ilvl w:val="0"/>
        <w:numId w:val="4"/>
      </w:numPr>
      <w:jc w:val="both"/>
      <w:spacing w:before="120" w:after="0" w:line="240" w:lineRule="auto"/>
    </w:pPr>
    <w:rPr>
      <w:rFonts w:ascii="Times New Roman" w:hAnsi="Times New Roman"/>
      <w:sz w:val="24"/>
      <w:szCs w:val="20"/>
      <w:lang w:eastAsia="ru-RU"/>
    </w:rPr>
  </w:style>
  <w:style w:type="paragraph" w:styleId="1030">
    <w:name w:val="List Bullet 4"/>
    <w:basedOn w:val="810"/>
    <w:qFormat/>
    <w:pPr>
      <w:numPr>
        <w:ilvl w:val="0"/>
        <w:numId w:val="5"/>
      </w:numPr>
      <w:jc w:val="both"/>
      <w:spacing w:before="120" w:after="0" w:line="240" w:lineRule="auto"/>
    </w:pPr>
    <w:rPr>
      <w:rFonts w:ascii="Times New Roman" w:hAnsi="Times New Roman"/>
      <w:sz w:val="24"/>
      <w:szCs w:val="20"/>
      <w:lang w:eastAsia="ru-RU"/>
    </w:rPr>
  </w:style>
  <w:style w:type="paragraph" w:styleId="1031">
    <w:name w:val="List Bullet 5"/>
    <w:basedOn w:val="810"/>
    <w:qFormat/>
    <w:pPr>
      <w:numPr>
        <w:ilvl w:val="0"/>
        <w:numId w:val="6"/>
      </w:numPr>
      <w:jc w:val="both"/>
      <w:spacing w:before="120" w:after="0" w:line="240" w:lineRule="auto"/>
    </w:pPr>
    <w:rPr>
      <w:rFonts w:ascii="Times New Roman" w:hAnsi="Times New Roman"/>
      <w:sz w:val="24"/>
      <w:szCs w:val="20"/>
      <w:lang w:eastAsia="ru-RU"/>
    </w:rPr>
  </w:style>
  <w:style w:type="paragraph" w:styleId="1032">
    <w:name w:val="List Number"/>
    <w:basedOn w:val="810"/>
    <w:qFormat/>
    <w:pPr>
      <w:numPr>
        <w:ilvl w:val="0"/>
        <w:numId w:val="7"/>
      </w:numPr>
      <w:jc w:val="both"/>
      <w:spacing w:before="120" w:after="0" w:line="240" w:lineRule="auto"/>
    </w:pPr>
    <w:rPr>
      <w:rFonts w:ascii="Times New Roman" w:hAnsi="Times New Roman"/>
      <w:sz w:val="24"/>
      <w:szCs w:val="20"/>
      <w:lang w:eastAsia="ru-RU"/>
    </w:rPr>
  </w:style>
  <w:style w:type="paragraph" w:styleId="1033">
    <w:name w:val="List Number 3"/>
    <w:basedOn w:val="810"/>
    <w:qFormat/>
    <w:pPr>
      <w:numPr>
        <w:ilvl w:val="0"/>
        <w:numId w:val="8"/>
      </w:numPr>
      <w:jc w:val="both"/>
      <w:spacing w:before="120" w:after="0" w:line="240" w:lineRule="auto"/>
    </w:pPr>
    <w:rPr>
      <w:rFonts w:ascii="Times New Roman" w:hAnsi="Times New Roman"/>
      <w:sz w:val="24"/>
      <w:szCs w:val="20"/>
      <w:lang w:eastAsia="ru-RU"/>
    </w:rPr>
  </w:style>
  <w:style w:type="paragraph" w:styleId="1034">
    <w:name w:val="List Number 4"/>
    <w:basedOn w:val="810"/>
    <w:qFormat/>
    <w:pPr>
      <w:numPr>
        <w:ilvl w:val="0"/>
        <w:numId w:val="9"/>
      </w:numPr>
      <w:jc w:val="both"/>
      <w:spacing w:before="120" w:after="0" w:line="240" w:lineRule="auto"/>
    </w:pPr>
    <w:rPr>
      <w:rFonts w:ascii="Times New Roman" w:hAnsi="Times New Roman"/>
      <w:sz w:val="24"/>
      <w:szCs w:val="20"/>
      <w:lang w:eastAsia="ru-RU"/>
    </w:rPr>
  </w:style>
  <w:style w:type="paragraph" w:styleId="1035">
    <w:name w:val="List Number 5"/>
    <w:basedOn w:val="810"/>
    <w:qFormat/>
    <w:pPr>
      <w:numPr>
        <w:ilvl w:val="0"/>
        <w:numId w:val="10"/>
      </w:numPr>
      <w:jc w:val="both"/>
      <w:spacing w:before="120" w:after="0" w:line="240" w:lineRule="auto"/>
    </w:pPr>
    <w:rPr>
      <w:rFonts w:ascii="Times New Roman" w:hAnsi="Times New Roman"/>
      <w:sz w:val="24"/>
      <w:szCs w:val="20"/>
      <w:lang w:eastAsia="ru-RU"/>
    </w:rPr>
  </w:style>
  <w:style w:type="paragraph" w:styleId="1036" w:customStyle="1">
    <w:name w:val="Раздел"/>
    <w:basedOn w:val="810"/>
    <w:semiHidden/>
    <w:qFormat/>
    <w:pPr>
      <w:numPr>
        <w:ilvl w:val="1"/>
        <w:numId w:val="11"/>
      </w:numPr>
      <w:jc w:val="center"/>
      <w:spacing w:before="120" w:after="120" w:line="240" w:lineRule="auto"/>
    </w:pPr>
    <w:rPr>
      <w:rFonts w:ascii="Arial Narrow" w:hAnsi="Arial Narrow"/>
      <w:b/>
      <w:sz w:val="28"/>
      <w:szCs w:val="20"/>
      <w:lang w:eastAsia="ru-RU"/>
    </w:rPr>
  </w:style>
  <w:style w:type="paragraph" w:styleId="1037" w:customStyle="1">
    <w:name w:val="Раздел 3"/>
    <w:basedOn w:val="810"/>
    <w:semiHidden/>
    <w:qFormat/>
    <w:pPr>
      <w:numPr>
        <w:ilvl w:val="0"/>
        <w:numId w:val="12"/>
      </w:numPr>
      <w:jc w:val="center"/>
      <w:spacing w:before="120" w:after="120" w:line="240" w:lineRule="auto"/>
    </w:pPr>
    <w:rPr>
      <w:rFonts w:ascii="Times New Roman" w:hAnsi="Times New Roman"/>
      <w:b/>
      <w:sz w:val="24"/>
      <w:szCs w:val="20"/>
      <w:lang w:eastAsia="ru-RU"/>
    </w:rPr>
  </w:style>
  <w:style w:type="paragraph" w:styleId="1038" w:customStyle="1">
    <w:name w:val="Стиль1"/>
    <w:basedOn w:val="810"/>
    <w:qFormat/>
    <w:pPr>
      <w:numPr>
        <w:ilvl w:val="0"/>
        <w:numId w:val="13"/>
      </w:numPr>
      <w:keepLines/>
      <w:keepNext/>
      <w:spacing w:before="120" w:after="0" w:line="240" w:lineRule="auto"/>
      <w:widowControl w:val="off"/>
      <w:suppressLineNumbers/>
    </w:pPr>
    <w:rPr>
      <w:rFonts w:ascii="Times New Roman" w:hAnsi="Times New Roman"/>
      <w:b/>
      <w:sz w:val="28"/>
      <w:szCs w:val="24"/>
      <w:lang w:eastAsia="ru-RU"/>
    </w:rPr>
  </w:style>
  <w:style w:type="paragraph" w:styleId="1039">
    <w:name w:val="Note Heading"/>
    <w:basedOn w:val="810"/>
    <w:next w:val="810"/>
    <w:qFormat/>
    <w:pPr>
      <w:jc w:val="both"/>
      <w:spacing w:before="120"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040" w:customStyle="1">
    <w:name w:val="Стиль3 Знак"/>
    <w:basedOn w:val="1019"/>
    <w:qFormat/>
    <w:pPr>
      <w:ind w:left="1080"/>
      <w:jc w:val="both"/>
      <w:spacing w:before="120" w:after="0" w:line="240" w:lineRule="auto"/>
      <w:tabs>
        <w:tab w:val="left" w:pos="1307" w:leader="none"/>
      </w:tabs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1041">
    <w:name w:val="Date"/>
    <w:basedOn w:val="810"/>
    <w:next w:val="810"/>
    <w:qFormat/>
    <w:pPr>
      <w:jc w:val="both"/>
      <w:spacing w:before="120" w:after="0" w:line="240" w:lineRule="auto"/>
    </w:pPr>
    <w:rPr>
      <w:rFonts w:ascii="Times New Roman" w:hAnsi="Times New Roman"/>
      <w:sz w:val="24"/>
      <w:szCs w:val="20"/>
      <w:lang w:eastAsia="ru-RU"/>
    </w:rPr>
  </w:style>
  <w:style w:type="paragraph" w:styleId="1042" w:customStyle="1">
    <w:name w:val="Стиль3"/>
    <w:basedOn w:val="1019"/>
    <w:qFormat/>
    <w:pPr>
      <w:ind w:left="1080"/>
      <w:jc w:val="both"/>
      <w:spacing w:before="120" w:after="0" w:line="240" w:lineRule="auto"/>
      <w:tabs>
        <w:tab w:val="left" w:pos="1307" w:leader="none"/>
      </w:tabs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1043">
    <w:name w:val="Plain Text"/>
    <w:basedOn w:val="810"/>
    <w:qFormat/>
    <w:pPr>
      <w:spacing w:before="120"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styleId="1044" w:customStyle="1">
    <w:name w:val="содержание2-11"/>
    <w:basedOn w:val="810"/>
    <w:qFormat/>
    <w:pPr>
      <w:jc w:val="both"/>
      <w:spacing w:before="120"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045">
    <w:name w:val="List Bullet"/>
    <w:basedOn w:val="810"/>
    <w:qFormat/>
    <w:pPr>
      <w:jc w:val="both"/>
      <w:spacing w:before="120" w:after="0" w:line="240" w:lineRule="auto"/>
      <w:widowControl w:val="off"/>
    </w:pPr>
    <w:rPr>
      <w:rFonts w:ascii="Times New Roman" w:hAnsi="Times New Roman"/>
      <w:sz w:val="24"/>
      <w:szCs w:val="24"/>
      <w:lang w:eastAsia="ru-RU"/>
    </w:rPr>
  </w:style>
  <w:style w:type="paragraph" w:styleId="1046">
    <w:name w:val="Body Text 3"/>
    <w:basedOn w:val="810"/>
    <w:qFormat/>
    <w:pPr>
      <w:jc w:val="both"/>
      <w:keepLines/>
      <w:keepNext/>
      <w:spacing w:before="148" w:after="112" w:line="240" w:lineRule="auto"/>
      <w:widowControl w:val="off"/>
      <w:tabs>
        <w:tab w:val="left" w:pos="0" w:leader="none"/>
        <w:tab w:val="left" w:pos="567" w:leader="none"/>
        <w:tab w:val="left" w:pos="1133" w:leader="none"/>
        <w:tab w:val="left" w:pos="1699" w:leader="none"/>
        <w:tab w:val="left" w:pos="2266" w:leader="none"/>
        <w:tab w:val="left" w:pos="2832" w:leader="none"/>
        <w:tab w:val="left" w:pos="3399" w:leader="none"/>
        <w:tab w:val="left" w:pos="3965" w:leader="none"/>
        <w:tab w:val="left" w:pos="4531" w:leader="none"/>
        <w:tab w:val="left" w:pos="5098" w:leader="none"/>
        <w:tab w:val="left" w:pos="5664" w:leader="none"/>
        <w:tab w:val="left" w:pos="6231" w:leader="none"/>
        <w:tab w:val="left" w:pos="6797" w:leader="none"/>
        <w:tab w:val="left" w:pos="7363" w:leader="none"/>
        <w:tab w:val="left" w:pos="7930" w:leader="none"/>
        <w:tab w:val="left" w:pos="8496" w:leader="none"/>
        <w:tab w:val="left" w:pos="9063" w:leader="none"/>
      </w:tabs>
      <w:suppressLineNumbers/>
    </w:pPr>
    <w:rPr>
      <w:rFonts w:ascii="Times New Roman" w:hAnsi="Times New Roman"/>
      <w:b/>
      <w:i/>
      <w:szCs w:val="24"/>
      <w:lang w:eastAsia="ru-RU"/>
    </w:rPr>
  </w:style>
  <w:style w:type="paragraph" w:styleId="1047">
    <w:name w:val="Header"/>
    <w:basedOn w:val="810"/>
    <w:link w:val="839"/>
    <w:pPr>
      <w:jc w:val="both"/>
      <w:spacing w:before="120" w:after="120" w:line="240" w:lineRule="auto"/>
      <w:tabs>
        <w:tab w:val="center" w:pos="4153" w:leader="none"/>
        <w:tab w:val="right" w:pos="8306" w:leader="none"/>
      </w:tabs>
    </w:pPr>
    <w:rPr>
      <w:rFonts w:ascii="Arial" w:hAnsi="Arial"/>
      <w:sz w:val="24"/>
      <w:szCs w:val="20"/>
      <w:lang w:eastAsia="ru-RU"/>
    </w:rPr>
  </w:style>
  <w:style w:type="paragraph" w:styleId="1048" w:customStyle="1">
    <w:name w:val="1"/>
    <w:basedOn w:val="810"/>
    <w:next w:val="1016"/>
    <w:qFormat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049" w:customStyle="1">
    <w:name w:val="a"/>
    <w:basedOn w:val="810"/>
    <w:qFormat/>
    <w:pPr>
      <w:spacing w:beforeAutospacing="1" w:afterAutospacing="1" w:line="240" w:lineRule="auto"/>
    </w:pPr>
    <w:rPr>
      <w:rFonts w:ascii="Arial Unicode MS" w:hAnsi="Arial Unicode MS" w:eastAsia="Arial Unicode MS" w:cs="Arial Unicode MS"/>
      <w:color w:val="000000"/>
      <w:sz w:val="24"/>
      <w:szCs w:val="24"/>
      <w:lang w:eastAsia="ru-RU"/>
    </w:rPr>
  </w:style>
  <w:style w:type="paragraph" w:styleId="1050" w:customStyle="1">
    <w:name w:val="heading"/>
    <w:basedOn w:val="810"/>
    <w:qFormat/>
    <w:pPr>
      <w:spacing w:beforeAutospacing="1" w:afterAutospacing="1" w:line="240" w:lineRule="auto"/>
    </w:pPr>
    <w:rPr>
      <w:rFonts w:ascii="Arial Unicode MS" w:hAnsi="Arial Unicode MS" w:eastAsia="Arial Unicode MS" w:cs="Arial Unicode MS"/>
      <w:color w:val="000000"/>
      <w:sz w:val="24"/>
      <w:szCs w:val="24"/>
      <w:lang w:eastAsia="ru-RU"/>
    </w:rPr>
  </w:style>
  <w:style w:type="paragraph" w:styleId="1051" w:customStyle="1">
    <w:name w:val="xl24"/>
    <w:basedOn w:val="810"/>
    <w:qFormat/>
    <w:pPr>
      <w:spacing w:beforeAutospacing="1" w:afterAutospacing="1" w:line="240" w:lineRule="auto"/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52" w:customStyle="1">
    <w:name w:val="xl25"/>
    <w:basedOn w:val="810"/>
    <w:qFormat/>
    <w:pPr>
      <w:spacing w:beforeAutospacing="1" w:afterAutospacing="1" w:line="240" w:lineRule="auto"/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53" w:customStyle="1">
    <w:name w:val="xl26"/>
    <w:basedOn w:val="810"/>
    <w:qFormat/>
    <w:pPr>
      <w:jc w:val="center"/>
      <w:spacing w:beforeAutospacing="1" w:afterAutospacing="1" w:line="240" w:lineRule="auto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Arial Unicode MS"/>
      <w:b/>
      <w:bCs/>
      <w:sz w:val="16"/>
      <w:szCs w:val="16"/>
      <w:lang w:eastAsia="ru-RU"/>
    </w:rPr>
  </w:style>
  <w:style w:type="paragraph" w:styleId="1054" w:customStyle="1">
    <w:name w:val="xl27"/>
    <w:basedOn w:val="810"/>
    <w:qFormat/>
    <w:pPr>
      <w:jc w:val="center"/>
      <w:spacing w:beforeAutospacing="1" w:afterAutospacing="1" w:line="240" w:lineRule="auto"/>
      <w:shd w:val="clear" w:color="auto" w:fill="00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Arial Unicode MS"/>
      <w:b/>
      <w:bCs/>
      <w:sz w:val="16"/>
      <w:szCs w:val="16"/>
      <w:lang w:eastAsia="ru-RU"/>
    </w:rPr>
  </w:style>
  <w:style w:type="paragraph" w:styleId="1055" w:customStyle="1">
    <w:name w:val="xl28"/>
    <w:basedOn w:val="810"/>
    <w:qFormat/>
    <w:pPr>
      <w:spacing w:beforeAutospacing="1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Arial" w:hAnsi="Arial" w:eastAsia="Arial Unicode MS" w:cs="Arial"/>
      <w:sz w:val="16"/>
      <w:szCs w:val="16"/>
      <w:lang w:eastAsia="ru-RU"/>
    </w:rPr>
  </w:style>
  <w:style w:type="paragraph" w:styleId="1056" w:customStyle="1">
    <w:name w:val="xl29"/>
    <w:basedOn w:val="810"/>
    <w:qFormat/>
    <w:pPr>
      <w:jc w:val="both"/>
      <w:spacing w:beforeAutospacing="1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57" w:customStyle="1">
    <w:name w:val="xl30"/>
    <w:basedOn w:val="810"/>
    <w:qFormat/>
    <w:pPr>
      <w:spacing w:beforeAutospacing="1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58" w:customStyle="1">
    <w:name w:val="xl31"/>
    <w:basedOn w:val="810"/>
    <w:qFormat/>
    <w:pPr>
      <w:jc w:val="center"/>
      <w:spacing w:beforeAutospacing="1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59" w:customStyle="1">
    <w:name w:val="xl32"/>
    <w:basedOn w:val="810"/>
    <w:qFormat/>
    <w:pPr>
      <w:jc w:val="center"/>
      <w:spacing w:beforeAutospacing="1" w:afterAutospacing="1" w:line="240" w:lineRule="auto"/>
      <w:pBdr>
        <w:left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60" w:customStyle="1">
    <w:name w:val="xl33"/>
    <w:basedOn w:val="810"/>
    <w:qFormat/>
    <w:pPr>
      <w:spacing w:beforeAutospacing="1" w:afterAutospacing="1" w:line="240" w:lineRule="auto"/>
      <w:pBdr>
        <w:left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61" w:customStyle="1">
    <w:name w:val="xl34"/>
    <w:basedOn w:val="810"/>
    <w:qFormat/>
    <w:pPr>
      <w:jc w:val="center"/>
      <w:spacing w:beforeAutospacing="1" w:afterAutospacing="1" w:line="240" w:lineRule="auto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62" w:customStyle="1">
    <w:name w:val="xl35"/>
    <w:basedOn w:val="810"/>
    <w:qFormat/>
    <w:pPr>
      <w:jc w:val="both"/>
      <w:spacing w:beforeAutospacing="1" w:afterAutospacing="1" w:line="240" w:lineRule="auto"/>
      <w:pBdr>
        <w:left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63" w:customStyle="1">
    <w:name w:val="xl36"/>
    <w:basedOn w:val="810"/>
    <w:qFormat/>
    <w:pPr>
      <w:jc w:val="center"/>
      <w:spacing w:beforeAutospacing="1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64" w:customStyle="1">
    <w:name w:val="xl37"/>
    <w:basedOn w:val="810"/>
    <w:qFormat/>
    <w:pPr>
      <w:jc w:val="center"/>
      <w:spacing w:beforeAutospacing="1" w:afterAutospacing="1" w:line="240" w:lineRule="auto"/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65" w:customStyle="1">
    <w:name w:val="xl38"/>
    <w:basedOn w:val="810"/>
    <w:qFormat/>
    <w:pPr>
      <w:spacing w:beforeAutospacing="1" w:afterAutospacing="1" w:line="240" w:lineRule="auto"/>
      <w:shd w:val="clear" w:color="auto" w:fill="00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Arial" w:hAnsi="Arial" w:eastAsia="Arial Unicode MS" w:cs="Arial"/>
      <w:b/>
      <w:bCs/>
      <w:sz w:val="16"/>
      <w:szCs w:val="16"/>
      <w:lang w:eastAsia="ru-RU"/>
    </w:rPr>
  </w:style>
  <w:style w:type="paragraph" w:styleId="1066" w:customStyle="1">
    <w:name w:val="xl39"/>
    <w:basedOn w:val="810"/>
    <w:qFormat/>
    <w:pPr>
      <w:spacing w:beforeAutospacing="1" w:afterAutospacing="1" w:line="240" w:lineRule="auto"/>
      <w:shd w:val="clear" w:color="auto" w:fill="00ffff"/>
      <w:pBdr>
        <w:top w:val="single" w:color="000000" w:sz="4" w:space="0"/>
        <w:bottom w:val="single" w:color="000000" w:sz="4" w:space="0"/>
      </w:pBdr>
    </w:pPr>
    <w:rPr>
      <w:rFonts w:ascii="Arial" w:hAnsi="Arial" w:eastAsia="Arial Unicode MS" w:cs="Arial"/>
      <w:b/>
      <w:bCs/>
      <w:sz w:val="16"/>
      <w:szCs w:val="16"/>
      <w:lang w:eastAsia="ru-RU"/>
    </w:rPr>
  </w:style>
  <w:style w:type="paragraph" w:styleId="1067" w:customStyle="1">
    <w:name w:val="xl40"/>
    <w:basedOn w:val="810"/>
    <w:qFormat/>
    <w:pPr>
      <w:jc w:val="center"/>
      <w:spacing w:beforeAutospacing="1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Arial" w:hAnsi="Arial" w:eastAsia="Arial Unicode MS" w:cs="Arial"/>
      <w:b/>
      <w:bCs/>
      <w:sz w:val="16"/>
      <w:szCs w:val="16"/>
      <w:lang w:eastAsia="ru-RU"/>
    </w:rPr>
  </w:style>
  <w:style w:type="paragraph" w:styleId="1068" w:customStyle="1">
    <w:name w:val="xl41"/>
    <w:basedOn w:val="810"/>
    <w:qFormat/>
    <w:pPr>
      <w:spacing w:beforeAutospacing="1" w:afterAutospacing="1" w:line="240" w:lineRule="auto"/>
      <w:pBdr>
        <w:top w:val="single" w:color="000000" w:sz="4" w:space="0"/>
        <w:left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69" w:customStyle="1">
    <w:name w:val="xl42"/>
    <w:basedOn w:val="810"/>
    <w:qFormat/>
    <w:pPr>
      <w:spacing w:beforeAutospacing="1" w:afterAutospacing="1" w:line="240" w:lineRule="auto"/>
      <w:pBdr>
        <w:top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70" w:customStyle="1">
    <w:name w:val="xl43"/>
    <w:basedOn w:val="810"/>
    <w:qFormat/>
    <w:pPr>
      <w:spacing w:beforeAutospacing="1" w:afterAutospacing="1" w:line="240" w:lineRule="auto"/>
      <w:pBdr>
        <w:left w:val="single" w:color="000000" w:sz="4" w:space="0"/>
        <w:bottom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71" w:customStyle="1">
    <w:name w:val="xl44"/>
    <w:basedOn w:val="810"/>
    <w:qFormat/>
    <w:pPr>
      <w:spacing w:beforeAutospacing="1" w:afterAutospacing="1" w:line="240" w:lineRule="auto"/>
      <w:pBdr>
        <w:bottom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72" w:customStyle="1">
    <w:name w:val="xl45"/>
    <w:basedOn w:val="810"/>
    <w:qFormat/>
    <w:pPr>
      <w:jc w:val="both"/>
      <w:spacing w:beforeAutospacing="1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73" w:customStyle="1">
    <w:name w:val="xl46"/>
    <w:basedOn w:val="810"/>
    <w:qFormat/>
    <w:pPr>
      <w:jc w:val="both"/>
      <w:spacing w:beforeAutospacing="1" w:afterAutospacing="1" w:line="240" w:lineRule="auto"/>
      <w:pBdr>
        <w:top w:val="single" w:color="000000" w:sz="4" w:space="0"/>
        <w:bottom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74" w:customStyle="1">
    <w:name w:val="xl47"/>
    <w:basedOn w:val="810"/>
    <w:qFormat/>
    <w:pPr>
      <w:jc w:val="both"/>
      <w:spacing w:beforeAutospacing="1" w:afterAutospacing="1" w:line="240" w:lineRule="auto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75">
    <w:name w:val="Block Text"/>
    <w:basedOn w:val="810"/>
    <w:qFormat/>
    <w:pPr>
      <w:ind w:left="200" w:right="200"/>
      <w:spacing w:before="200" w:line="480" w:lineRule="atLeast"/>
    </w:pPr>
    <w:rPr>
      <w:rFonts w:ascii="Times New Roman" w:hAnsi="Times New Roman"/>
      <w:szCs w:val="24"/>
      <w:lang w:eastAsia="ru-RU"/>
    </w:rPr>
  </w:style>
  <w:style w:type="paragraph" w:styleId="1076" w:customStyle="1">
    <w:name w:val="Ñòèëü1"/>
    <w:basedOn w:val="810"/>
    <w:qFormat/>
    <w:pPr>
      <w:spacing w:after="0" w:line="288" w:lineRule="auto"/>
    </w:pPr>
    <w:rPr>
      <w:rFonts w:ascii="Times New Roman" w:hAnsi="Times New Roman"/>
      <w:sz w:val="28"/>
      <w:szCs w:val="20"/>
      <w:lang w:eastAsia="ru-RU"/>
    </w:rPr>
  </w:style>
  <w:style w:type="paragraph" w:styleId="1077" w:customStyle="1">
    <w:name w:val="Default"/>
    <w:qFormat/>
    <w:rPr>
      <w:rFonts w:eastAsia="Calibri"/>
      <w:color w:val="000000"/>
      <w:sz w:val="24"/>
      <w:szCs w:val="24"/>
      <w:lang w:eastAsia="en-US"/>
    </w:rPr>
  </w:style>
  <w:style w:type="paragraph" w:styleId="1078" w:customStyle="1">
    <w:name w:val="Article"/>
    <w:basedOn w:val="810"/>
    <w:qFormat/>
    <w:pPr>
      <w:ind w:left="340" w:hanging="340"/>
      <w:jc w:val="both"/>
      <w:spacing w:after="0" w:line="240" w:lineRule="auto"/>
    </w:pPr>
    <w:rPr>
      <w:rFonts w:ascii="TimesDL" w:hAnsi="TimesDL"/>
      <w:sz w:val="20"/>
      <w:szCs w:val="20"/>
      <w:lang w:val="en-GB" w:eastAsia="ru-RU"/>
    </w:rPr>
  </w:style>
  <w:style w:type="paragraph" w:styleId="1079" w:customStyle="1">
    <w:name w:val="xl80"/>
    <w:basedOn w:val="810"/>
    <w:qFormat/>
    <w:pPr>
      <w:jc w:val="center"/>
      <w:spacing w:beforeAutospacing="1" w:afterAutospacing="1" w:line="240" w:lineRule="auto"/>
      <w:shd w:val="clear" w:color="auto" w:fill="ffcc99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Arial Unicode MS"/>
      <w:b/>
      <w:bCs/>
      <w:sz w:val="24"/>
      <w:szCs w:val="24"/>
      <w:lang w:eastAsia="ru-RU"/>
    </w:rPr>
  </w:style>
  <w:style w:type="paragraph" w:styleId="1080" w:customStyle="1">
    <w:name w:val="xl81"/>
    <w:basedOn w:val="810"/>
    <w:qFormat/>
    <w:pPr>
      <w:jc w:val="center"/>
      <w:spacing w:beforeAutospacing="1" w:afterAutospacing="1" w:line="240" w:lineRule="auto"/>
      <w:shd w:val="clear" w:color="auto" w:fill="ffcc99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Arial Unicode MS"/>
      <w:b/>
      <w:bCs/>
      <w:sz w:val="24"/>
      <w:szCs w:val="24"/>
      <w:lang w:eastAsia="ru-RU"/>
    </w:rPr>
  </w:style>
  <w:style w:type="paragraph" w:styleId="1081" w:customStyle="1">
    <w:name w:val="xl82"/>
    <w:basedOn w:val="810"/>
    <w:qFormat/>
    <w:pPr>
      <w:jc w:val="center"/>
      <w:spacing w:beforeAutospacing="1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Arial Unicode MS"/>
      <w:sz w:val="24"/>
      <w:szCs w:val="24"/>
      <w:lang w:eastAsia="ru-RU"/>
    </w:rPr>
  </w:style>
  <w:style w:type="paragraph" w:styleId="1082" w:customStyle="1">
    <w:name w:val="xl83"/>
    <w:basedOn w:val="810"/>
    <w:qFormat/>
    <w:pPr>
      <w:jc w:val="center"/>
      <w:spacing w:beforeAutospacing="1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24"/>
      <w:szCs w:val="24"/>
      <w:lang w:eastAsia="ru-RU"/>
    </w:rPr>
  </w:style>
  <w:style w:type="paragraph" w:styleId="1083" w:customStyle="1">
    <w:name w:val="xl84"/>
    <w:basedOn w:val="810"/>
    <w:qFormat/>
    <w:pPr>
      <w:jc w:val="center"/>
      <w:spacing w:beforeAutospacing="1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Arial Unicode MS"/>
      <w:sz w:val="24"/>
      <w:szCs w:val="24"/>
      <w:lang w:eastAsia="ru-RU"/>
    </w:rPr>
  </w:style>
  <w:style w:type="paragraph" w:styleId="1084" w:customStyle="1">
    <w:name w:val="xl85"/>
    <w:basedOn w:val="810"/>
    <w:qFormat/>
    <w:pPr>
      <w:jc w:val="center"/>
      <w:spacing w:beforeAutospacing="1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Arial Unicode MS"/>
      <w:sz w:val="24"/>
      <w:szCs w:val="24"/>
      <w:lang w:eastAsia="ru-RU"/>
    </w:rPr>
  </w:style>
  <w:style w:type="paragraph" w:styleId="1085" w:customStyle="1">
    <w:name w:val="xl86"/>
    <w:basedOn w:val="810"/>
    <w:qFormat/>
    <w:pPr>
      <w:jc w:val="center"/>
      <w:spacing w:beforeAutospacing="1" w:afterAutospacing="1" w:line="240" w:lineRule="auto"/>
      <w:pBdr>
        <w:top w:val="single" w:color="000000" w:sz="4" w:space="0"/>
        <w:bottom w:val="single" w:color="000000" w:sz="4" w:space="0"/>
      </w:pBdr>
    </w:pPr>
    <w:rPr>
      <w:rFonts w:ascii="Arial Unicode MS" w:hAnsi="Arial Unicode MS" w:eastAsia="Arial Unicode MS" w:cs="Arial Unicode MS"/>
      <w:sz w:val="24"/>
      <w:szCs w:val="24"/>
      <w:lang w:eastAsia="ru-RU"/>
    </w:rPr>
  </w:style>
  <w:style w:type="paragraph" w:styleId="1086" w:customStyle="1">
    <w:name w:val="xl87"/>
    <w:basedOn w:val="810"/>
    <w:qFormat/>
    <w:pPr>
      <w:jc w:val="center"/>
      <w:spacing w:beforeAutospacing="1" w:afterAutospacing="1" w:line="240" w:lineRule="auto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24"/>
      <w:szCs w:val="24"/>
      <w:lang w:eastAsia="ru-RU"/>
    </w:rPr>
  </w:style>
  <w:style w:type="paragraph" w:styleId="1087" w:customStyle="1">
    <w:name w:val="xl88"/>
    <w:basedOn w:val="810"/>
    <w:qFormat/>
    <w:pPr>
      <w:spacing w:beforeAutospacing="1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Arial Unicode MS"/>
      <w:sz w:val="24"/>
      <w:szCs w:val="24"/>
      <w:lang w:eastAsia="ru-RU"/>
    </w:rPr>
  </w:style>
  <w:style w:type="paragraph" w:styleId="1088" w:customStyle="1">
    <w:name w:val="xl89"/>
    <w:basedOn w:val="810"/>
    <w:qFormat/>
    <w:pPr>
      <w:jc w:val="center"/>
      <w:spacing w:beforeAutospacing="1" w:afterAutospacing="1" w:line="240" w:lineRule="auto"/>
      <w:shd w:val="clear" w:color="auto" w:fill="ffcc99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Times New Roman" w:hAnsi="Times New Roman" w:eastAsia="Arial Unicode MS"/>
      <w:b/>
      <w:bCs/>
      <w:sz w:val="24"/>
      <w:szCs w:val="24"/>
      <w:lang w:eastAsia="ru-RU"/>
    </w:rPr>
  </w:style>
  <w:style w:type="paragraph" w:styleId="1089" w:customStyle="1">
    <w:name w:val="xl90"/>
    <w:basedOn w:val="810"/>
    <w:qFormat/>
    <w:pPr>
      <w:jc w:val="center"/>
      <w:spacing w:beforeAutospacing="1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 w:eastAsia="Arial Unicode MS"/>
      <w:sz w:val="24"/>
      <w:szCs w:val="24"/>
      <w:lang w:eastAsia="ru-RU"/>
    </w:rPr>
  </w:style>
  <w:style w:type="paragraph" w:styleId="1090" w:customStyle="1">
    <w:name w:val="xl91"/>
    <w:basedOn w:val="810"/>
    <w:qFormat/>
    <w:pPr>
      <w:spacing w:beforeAutospacing="1" w:afterAutospacing="1" w:line="240" w:lineRule="auto"/>
      <w:pBdr>
        <w:left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24"/>
      <w:szCs w:val="24"/>
      <w:lang w:eastAsia="ru-RU"/>
    </w:rPr>
  </w:style>
  <w:style w:type="paragraph" w:styleId="1091" w:customStyle="1">
    <w:name w:val="xl92"/>
    <w:basedOn w:val="810"/>
    <w:qFormat/>
    <w:pPr>
      <w:spacing w:beforeAutospacing="1" w:afterAutospacing="1" w:line="240" w:lineRule="auto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24"/>
      <w:szCs w:val="24"/>
      <w:lang w:eastAsia="ru-RU"/>
    </w:rPr>
  </w:style>
  <w:style w:type="paragraph" w:styleId="1092" w:customStyle="1">
    <w:name w:val="xl93"/>
    <w:basedOn w:val="810"/>
    <w:qFormat/>
    <w:pPr>
      <w:jc w:val="center"/>
      <w:spacing w:beforeAutospacing="1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 w:eastAsia="Arial Unicode MS"/>
      <w:sz w:val="24"/>
      <w:szCs w:val="24"/>
      <w:lang w:eastAsia="ru-RU"/>
    </w:rPr>
  </w:style>
  <w:style w:type="paragraph" w:styleId="1093" w:customStyle="1">
    <w:name w:val="xl94"/>
    <w:basedOn w:val="810"/>
    <w:qFormat/>
    <w:pPr>
      <w:spacing w:beforeAutospacing="1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Arial Unicode MS"/>
      <w:sz w:val="24"/>
      <w:szCs w:val="24"/>
      <w:lang w:eastAsia="ru-RU"/>
    </w:rPr>
  </w:style>
  <w:style w:type="paragraph" w:styleId="1094" w:customStyle="1">
    <w:name w:val="xl95"/>
    <w:basedOn w:val="810"/>
    <w:qFormat/>
    <w:pPr>
      <w:spacing w:beforeAutospacing="1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Arial Unicode MS"/>
      <w:sz w:val="24"/>
      <w:szCs w:val="24"/>
      <w:lang w:eastAsia="ru-RU"/>
    </w:rPr>
  </w:style>
  <w:style w:type="paragraph" w:styleId="1095" w:customStyle="1">
    <w:name w:val="xl96"/>
    <w:basedOn w:val="810"/>
    <w:qFormat/>
    <w:pPr>
      <w:spacing w:beforeAutospacing="1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Times New Roman" w:hAnsi="Times New Roman" w:eastAsia="Arial Unicode MS"/>
      <w:sz w:val="24"/>
      <w:szCs w:val="24"/>
      <w:lang w:eastAsia="ru-RU"/>
    </w:rPr>
  </w:style>
  <w:style w:type="paragraph" w:styleId="1096" w:customStyle="1">
    <w:name w:val="xl97"/>
    <w:basedOn w:val="810"/>
    <w:qFormat/>
    <w:pPr>
      <w:spacing w:beforeAutospacing="1" w:afterAutospacing="1" w:line="240" w:lineRule="auto"/>
      <w:pBdr>
        <w:top w:val="single" w:color="000000" w:sz="4" w:space="0"/>
        <w:bottom w:val="single" w:color="000000" w:sz="4" w:space="0"/>
      </w:pBdr>
    </w:pPr>
    <w:rPr>
      <w:rFonts w:ascii="Times New Roman" w:hAnsi="Times New Roman" w:eastAsia="Arial Unicode MS"/>
      <w:sz w:val="24"/>
      <w:szCs w:val="24"/>
      <w:lang w:eastAsia="ru-RU"/>
    </w:rPr>
  </w:style>
  <w:style w:type="paragraph" w:styleId="1097" w:customStyle="1">
    <w:name w:val="xl98"/>
    <w:basedOn w:val="810"/>
    <w:qFormat/>
    <w:pPr>
      <w:spacing w:beforeAutospacing="1" w:afterAutospacing="1" w:line="240" w:lineRule="auto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Arial Unicode MS"/>
      <w:sz w:val="24"/>
      <w:szCs w:val="24"/>
      <w:lang w:eastAsia="ru-RU"/>
    </w:rPr>
  </w:style>
  <w:style w:type="paragraph" w:styleId="1098" w:customStyle="1">
    <w:name w:val="xl99"/>
    <w:basedOn w:val="810"/>
    <w:qFormat/>
    <w:pPr>
      <w:spacing w:beforeAutospacing="1" w:afterAutospacing="1" w:line="240" w:lineRule="auto"/>
      <w:pBdr>
        <w:top w:val="single" w:color="000000" w:sz="4" w:space="0"/>
        <w:bottom w:val="single" w:color="000000" w:sz="4" w:space="0"/>
      </w:pBdr>
    </w:pPr>
    <w:rPr>
      <w:rFonts w:ascii="Times New Roman" w:hAnsi="Times New Roman" w:eastAsia="Arial Unicode MS"/>
      <w:sz w:val="24"/>
      <w:szCs w:val="24"/>
      <w:lang w:eastAsia="ru-RU"/>
    </w:rPr>
  </w:style>
  <w:style w:type="paragraph" w:styleId="1099" w:customStyle="1">
    <w:name w:val="xl100"/>
    <w:basedOn w:val="810"/>
    <w:qFormat/>
    <w:pPr>
      <w:spacing w:beforeAutospacing="1" w:afterAutospacing="1" w:line="240" w:lineRule="auto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Arial Unicode MS"/>
      <w:sz w:val="24"/>
      <w:szCs w:val="24"/>
      <w:lang w:eastAsia="ru-RU"/>
    </w:rPr>
  </w:style>
  <w:style w:type="paragraph" w:styleId="1100" w:customStyle="1">
    <w:name w:val="xl101"/>
    <w:basedOn w:val="810"/>
    <w:qFormat/>
    <w:pPr>
      <w:spacing w:beforeAutospacing="1" w:afterAutospacing="1" w:line="240" w:lineRule="auto"/>
      <w:pBdr>
        <w:left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24"/>
      <w:szCs w:val="24"/>
      <w:lang w:eastAsia="ru-RU"/>
    </w:rPr>
  </w:style>
  <w:style w:type="paragraph" w:styleId="1101" w:customStyle="1">
    <w:name w:val="xl102"/>
    <w:basedOn w:val="810"/>
    <w:qFormat/>
    <w:pPr>
      <w:spacing w:beforeAutospacing="1" w:afterAutospacing="1" w:line="240" w:lineRule="auto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24"/>
      <w:szCs w:val="24"/>
      <w:lang w:eastAsia="ru-RU"/>
    </w:rPr>
  </w:style>
  <w:style w:type="paragraph" w:styleId="1102" w:customStyle="1">
    <w:name w:val="xl103"/>
    <w:basedOn w:val="810"/>
    <w:qFormat/>
    <w:pPr>
      <w:spacing w:beforeAutospacing="1" w:afterAutospacing="1" w:line="240" w:lineRule="auto"/>
      <w:pBdr>
        <w:top w:val="single" w:color="000000" w:sz="4" w:space="0"/>
        <w:bottom w:val="single" w:color="000000" w:sz="4" w:space="0"/>
      </w:pBdr>
    </w:pPr>
    <w:rPr>
      <w:rFonts w:ascii="Arial Unicode MS" w:hAnsi="Arial Unicode MS" w:eastAsia="Arial Unicode MS" w:cs="Arial Unicode MS"/>
      <w:sz w:val="24"/>
      <w:szCs w:val="24"/>
      <w:lang w:eastAsia="ru-RU"/>
    </w:rPr>
  </w:style>
  <w:style w:type="paragraph" w:styleId="1103" w:customStyle="1">
    <w:name w:val="Знак"/>
    <w:basedOn w:val="810"/>
    <w:qFormat/>
    <w:pPr>
      <w:jc w:val="both"/>
      <w:spacing w:after="160" w:line="240" w:lineRule="exact"/>
    </w:pPr>
    <w:rPr>
      <w:rFonts w:ascii="Times New Roman" w:hAnsi="Times New Roman"/>
      <w:sz w:val="24"/>
      <w:szCs w:val="20"/>
      <w:lang w:val="en-US" w:eastAsia="en-US"/>
    </w:rPr>
  </w:style>
  <w:style w:type="paragraph" w:styleId="1104" w:customStyle="1">
    <w:name w:val="Основной текст 21"/>
    <w:qFormat/>
    <w:pPr>
      <w:jc w:val="both"/>
      <w:spacing w:before="120" w:line="100" w:lineRule="atLeast"/>
      <w:widowControl w:val="off"/>
    </w:pPr>
    <w:rPr>
      <w:rFonts w:eastAsia="DejaVu Sans" w:cs="font80"/>
      <w:sz w:val="24"/>
      <w:lang w:eastAsia="ar-SA"/>
    </w:rPr>
  </w:style>
  <w:style w:type="paragraph" w:styleId="1105" w:customStyle="1">
    <w:name w:val="Тендерные данные"/>
    <w:basedOn w:val="810"/>
    <w:semiHidden/>
    <w:qFormat/>
    <w:pPr>
      <w:jc w:val="both"/>
      <w:spacing w:before="120" w:after="0" w:line="240" w:lineRule="auto"/>
      <w:tabs>
        <w:tab w:val="left" w:pos="1985" w:leader="none"/>
      </w:tabs>
    </w:pPr>
    <w:rPr>
      <w:rFonts w:ascii="Times New Roman" w:hAnsi="Times New Roman"/>
      <w:b/>
      <w:sz w:val="24"/>
      <w:szCs w:val="20"/>
      <w:lang w:eastAsia="ru-RU"/>
    </w:rPr>
  </w:style>
  <w:style w:type="paragraph" w:styleId="1106" w:customStyle="1">
    <w:name w:val="Абзац списка1"/>
    <w:basedOn w:val="810"/>
    <w:qFormat/>
    <w:pPr>
      <w:contextualSpacing/>
      <w:ind w:left="720"/>
      <w:jc w:val="both"/>
    </w:pPr>
    <w:rPr>
      <w:rFonts w:eastAsia="Calibri"/>
      <w:sz w:val="20"/>
      <w:szCs w:val="20"/>
      <w:lang w:val="en-US" w:eastAsia="en-US"/>
    </w:rPr>
  </w:style>
  <w:style w:type="paragraph" w:styleId="1107">
    <w:name w:val="Balloon Text"/>
    <w:basedOn w:val="810"/>
    <w:semiHidden/>
    <w:qFormat/>
    <w:rPr>
      <w:rFonts w:ascii="Tahoma" w:hAnsi="Tahoma" w:cs="Tahoma"/>
      <w:sz w:val="16"/>
      <w:szCs w:val="16"/>
    </w:rPr>
  </w:style>
  <w:style w:type="paragraph" w:styleId="1108" w:customStyle="1">
    <w:name w:val="Основной текст с отступом 21"/>
    <w:basedOn w:val="810"/>
    <w:qFormat/>
    <w:pPr>
      <w:ind w:left="283"/>
      <w:spacing w:after="120" w:line="480" w:lineRule="auto"/>
    </w:pPr>
  </w:style>
  <w:style w:type="paragraph" w:styleId="1109" w:customStyle="1">
    <w:name w:val="WW-Базовый"/>
    <w:qFormat/>
    <w:pPr>
      <w:spacing w:after="200" w:line="276" w:lineRule="auto"/>
      <w:widowControl w:val="off"/>
      <w:tabs>
        <w:tab w:val="left" w:pos="709" w:leader="none"/>
      </w:tabs>
    </w:pPr>
    <w:rPr>
      <w:rFonts w:eastAsia="Droid Sans" w:cs="Lohit Hindi"/>
      <w:sz w:val="24"/>
      <w:szCs w:val="24"/>
      <w:lang w:eastAsia="hi-IN" w:bidi="hi-IN"/>
    </w:rPr>
  </w:style>
  <w:style w:type="paragraph" w:styleId="1110" w:customStyle="1">
    <w:name w:val="ТТ список 1"/>
    <w:basedOn w:val="810"/>
    <w:qFormat/>
    <w:pPr>
      <w:ind w:left="851" w:hanging="851"/>
      <w:keepLines/>
      <w:keepNext/>
      <w:spacing w:before="240" w:after="120" w:line="240" w:lineRule="auto"/>
      <w:tabs>
        <w:tab w:val="left" w:pos="720" w:leader="none"/>
        <w:tab w:val="left" w:pos="851" w:leader="none"/>
      </w:tabs>
    </w:pPr>
    <w:rPr>
      <w:rFonts w:ascii="Times New Roman" w:hAnsi="Times New Roman"/>
      <w:b/>
      <w:sz w:val="24"/>
      <w:szCs w:val="20"/>
      <w:lang w:val="en-US" w:eastAsia="en-US" w:bidi="en-US"/>
    </w:rPr>
  </w:style>
  <w:style w:type="paragraph" w:styleId="1111" w:customStyle="1">
    <w:name w:val="ТТ список 2"/>
    <w:basedOn w:val="810"/>
    <w:qFormat/>
    <w:pPr>
      <w:ind w:left="851" w:hanging="851"/>
      <w:keepLines/>
      <w:keepNext/>
      <w:spacing w:before="120" w:after="60" w:line="240" w:lineRule="auto"/>
      <w:tabs>
        <w:tab w:val="left" w:pos="720" w:leader="none"/>
        <w:tab w:val="left" w:pos="851" w:leader="none"/>
      </w:tabs>
    </w:pPr>
    <w:rPr>
      <w:rFonts w:ascii="Times New Roman" w:hAnsi="Times New Roman"/>
      <w:i/>
      <w:sz w:val="24"/>
      <w:szCs w:val="24"/>
      <w:lang w:val="en-US" w:eastAsia="en-US" w:bidi="en-US"/>
    </w:rPr>
  </w:style>
  <w:style w:type="paragraph" w:styleId="1112">
    <w:name w:val="footnote text"/>
    <w:basedOn w:val="810"/>
    <w:link w:val="967"/>
    <w:uiPriority w:val="99"/>
    <w:unhideWhenUsed/>
    <w:rPr>
      <w:rFonts w:eastAsia="Calibri"/>
      <w:sz w:val="20"/>
      <w:szCs w:val="20"/>
      <w:lang w:eastAsia="en-US"/>
    </w:rPr>
  </w:style>
  <w:style w:type="paragraph" w:styleId="1113" w:customStyle="1">
    <w:name w:val="Пункт Знак"/>
    <w:basedOn w:val="810"/>
    <w:qFormat/>
    <w:pPr>
      <w:numPr>
        <w:ilvl w:val="1"/>
        <w:numId w:val="14"/>
      </w:numPr>
      <w:jc w:val="both"/>
      <w:spacing w:after="0" w:line="360" w:lineRule="auto"/>
      <w:tabs>
        <w:tab w:val="left" w:pos="851" w:leader="none"/>
        <w:tab w:val="left" w:pos="1134" w:leader="none"/>
      </w:tabs>
    </w:pPr>
    <w:rPr>
      <w:rFonts w:ascii="Times New Roman" w:hAnsi="Times New Roman"/>
      <w:sz w:val="28"/>
      <w:szCs w:val="20"/>
      <w:lang w:eastAsia="ru-RU"/>
    </w:rPr>
  </w:style>
  <w:style w:type="paragraph" w:styleId="1114" w:customStyle="1">
    <w:name w:val="Подпункт"/>
    <w:basedOn w:val="1113"/>
    <w:qFormat/>
    <w:pPr>
      <w:tabs>
        <w:tab w:val="clear" w:pos="1134" w:leader="none"/>
      </w:tabs>
    </w:pPr>
  </w:style>
  <w:style w:type="paragraph" w:styleId="1115" w:customStyle="1">
    <w:name w:val="Подподпункт"/>
    <w:basedOn w:val="1114"/>
    <w:qFormat/>
    <w:pPr>
      <w:tabs>
        <w:tab w:val="left" w:pos="1134" w:leader="none"/>
        <w:tab w:val="left" w:pos="1418" w:leader="none"/>
      </w:tabs>
    </w:pPr>
  </w:style>
  <w:style w:type="paragraph" w:styleId="1116" w:customStyle="1">
    <w:name w:val="Подподподпункт"/>
    <w:basedOn w:val="810"/>
    <w:qFormat/>
    <w:pPr>
      <w:numPr>
        <w:ilvl w:val="4"/>
        <w:numId w:val="14"/>
      </w:numPr>
      <w:jc w:val="both"/>
      <w:spacing w:after="0" w:line="360" w:lineRule="auto"/>
      <w:tabs>
        <w:tab w:val="left" w:pos="1134" w:leader="none"/>
        <w:tab w:val="left" w:pos="1701" w:leader="none"/>
      </w:tabs>
    </w:pPr>
    <w:rPr>
      <w:rFonts w:ascii="Times New Roman" w:hAnsi="Times New Roman"/>
      <w:sz w:val="28"/>
      <w:szCs w:val="20"/>
      <w:lang w:eastAsia="ru-RU"/>
    </w:rPr>
  </w:style>
  <w:style w:type="paragraph" w:styleId="1117" w:customStyle="1">
    <w:name w:val="Пункт1"/>
    <w:basedOn w:val="810"/>
    <w:qFormat/>
    <w:pPr>
      <w:numPr>
        <w:ilvl w:val="0"/>
        <w:numId w:val="14"/>
      </w:numPr>
      <w:jc w:val="center"/>
      <w:spacing w:before="240" w:after="0" w:line="360" w:lineRule="auto"/>
    </w:pPr>
    <w:rPr>
      <w:rFonts w:ascii="Arial" w:hAnsi="Arial"/>
      <w:b/>
      <w:sz w:val="28"/>
      <w:szCs w:val="28"/>
      <w:lang w:eastAsia="ru-RU"/>
    </w:rPr>
  </w:style>
  <w:style w:type="paragraph" w:styleId="1118">
    <w:name w:val="List Paragraph"/>
    <w:basedOn w:val="810"/>
    <w:uiPriority w:val="34"/>
    <w:qFormat/>
    <w:pPr>
      <w:contextualSpacing/>
      <w:ind w:left="720"/>
    </w:pPr>
    <w:rPr>
      <w:rFonts w:asciiTheme="minorHAnsi" w:hAnsiTheme="minorHAnsi" w:eastAsiaTheme="minorHAnsi" w:cstheme="minorBidi"/>
      <w:lang w:eastAsia="en-US"/>
    </w:rPr>
  </w:style>
  <w:style w:type="paragraph" w:styleId="1119" w:customStyle="1">
    <w:name w:val="Абзац списка3"/>
    <w:basedOn w:val="810"/>
    <w:qFormat/>
    <w:pPr>
      <w:contextualSpacing/>
      <w:ind w:left="720"/>
      <w:jc w:val="both"/>
    </w:pPr>
    <w:rPr>
      <w:rFonts w:eastAsia="Calibri"/>
      <w:sz w:val="20"/>
      <w:szCs w:val="20"/>
      <w:lang w:val="en-US" w:eastAsia="en-US"/>
    </w:rPr>
  </w:style>
  <w:style w:type="paragraph" w:styleId="1120">
    <w:name w:val="No Spacing"/>
    <w:link w:val="1002"/>
    <w:uiPriority w:val="1"/>
    <w:qFormat/>
    <w:rPr>
      <w:rFonts w:ascii="Calibri" w:hAnsi="Calibri"/>
      <w:sz w:val="22"/>
      <w:szCs w:val="22"/>
    </w:rPr>
  </w:style>
  <w:style w:type="paragraph" w:styleId="1121">
    <w:name w:val="annotation text"/>
    <w:basedOn w:val="810"/>
    <w:link w:val="1004"/>
    <w:qFormat/>
    <w:pPr>
      <w:spacing w:line="240" w:lineRule="auto"/>
    </w:pPr>
    <w:rPr>
      <w:sz w:val="20"/>
      <w:szCs w:val="20"/>
    </w:rPr>
  </w:style>
  <w:style w:type="paragraph" w:styleId="1122">
    <w:name w:val="annotation subject"/>
    <w:basedOn w:val="1121"/>
    <w:next w:val="1121"/>
    <w:link w:val="1005"/>
    <w:qFormat/>
    <w:rPr>
      <w:b/>
      <w:bCs/>
    </w:rPr>
  </w:style>
  <w:style w:type="paragraph" w:styleId="1123" w:customStyle="1">
    <w:name w:val="Содержимое врезки"/>
    <w:basedOn w:val="810"/>
    <w:qFormat/>
  </w:style>
  <w:style w:type="table" w:styleId="1124">
    <w:name w:val="Table Grid"/>
    <w:basedOn w:val="821"/>
    <w:pPr>
      <w:spacing w:after="200" w:line="276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125" w:customStyle="1">
    <w:name w:val="ConsNormal"/>
    <w:pPr>
      <w:contextualSpacing w:val="0"/>
      <w:ind w:left="0" w:right="0" w:firstLine="72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Arial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ar-SA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customXml" Target="../customXml/item1.xml" /><Relationship Id="rId13" Type="http://schemas.openxmlformats.org/officeDocument/2006/relationships/hyperlink" Target="mailto:lawyer@tatmedia.com" TargetMode="External"/><Relationship Id="rId14" Type="http://schemas.openxmlformats.org/officeDocument/2006/relationships/hyperlink" Target="https://etpzakupki.tatar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B1877A-A275-48BA-9D51-C77DB46C3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>&lt;arabianhorse&gt;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1</dc:creator>
  <dc:description/>
  <dc:language>ru-RU</dc:language>
  <cp:revision>12</cp:revision>
  <dcterms:created xsi:type="dcterms:W3CDTF">2026-06-26T06:51:00Z</dcterms:created>
  <dcterms:modified xsi:type="dcterms:W3CDTF">2026-06-26T12:14:19Z</dcterms:modified>
</cp:coreProperties>
</file>