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contextualSpacing/>
        <w:jc w:val="center"/>
        <w:spacing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Техническое задание 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contextualSpacing/>
        <w:jc w:val="center"/>
        <w:spacing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на право заключения договора на поставку полиграфического клея </w:t>
      </w:r>
      <w:r>
        <w:rPr>
          <w:rFonts w:ascii="Times New Roman" w:hAnsi="Times New Roman" w:eastAsia="Times New Roman" w:cs="Times New Roman"/>
          <w:b/>
          <w:sz w:val="24"/>
          <w:szCs w:val="24"/>
        </w:rPr>
      </w:r>
    </w:p>
    <w:p>
      <w:pPr>
        <w:contextualSpacing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26" w:firstLine="141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18"/>
          <w:lang w:eastAsia="zh-CN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за единицу: </w:t>
      </w:r>
      <w:r>
        <w:rPr>
          <w:rFonts w:ascii="Times New Roman" w:hAnsi="Times New Roman" w:cs="Times New Roman"/>
          <w:b/>
          <w:sz w:val="24"/>
          <w:szCs w:val="24"/>
        </w:rPr>
        <w:t xml:space="preserve">2</w:t>
      </w:r>
      <w:r>
        <w:rPr>
          <w:rFonts w:ascii="Times New Roman" w:hAnsi="Times New Roman" w:cs="Times New Roman"/>
          <w:b/>
          <w:sz w:val="24"/>
          <w:szCs w:val="24"/>
        </w:rPr>
        <w:t xml:space="preserve"> 0</w:t>
      </w:r>
      <w:r>
        <w:rPr>
          <w:rFonts w:ascii="Times New Roman" w:hAnsi="Times New Roman" w:cs="Times New Roman"/>
          <w:b/>
          <w:sz w:val="24"/>
          <w:szCs w:val="24"/>
        </w:rPr>
        <w:t xml:space="preserve">33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две тысячи </w:t>
      </w:r>
      <w:r>
        <w:rPr>
          <w:rFonts w:ascii="Times New Roman" w:hAnsi="Times New Roman" w:cs="Times New Roman"/>
          <w:sz w:val="24"/>
          <w:szCs w:val="24"/>
        </w:rPr>
        <w:t xml:space="preserve">тридцать три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рубля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копеек с НДС 22</w:t>
      </w:r>
      <w:r>
        <w:rPr>
          <w:rFonts w:ascii="Times New Roman" w:hAnsi="Times New Roman" w:cs="Times New Roman"/>
          <w:sz w:val="24"/>
          <w:szCs w:val="24"/>
        </w:rPr>
        <w:t xml:space="preserve">%.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26" w:firstLine="141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 связи с тем, что в ходе исполнения </w:t>
      </w:r>
      <w:r>
        <w:rPr>
          <w:rFonts w:ascii="Times New Roman" w:hAnsi="Times New Roman" w:cs="Times New Roman"/>
          <w:sz w:val="24"/>
          <w:szCs w:val="24"/>
        </w:rPr>
        <w:t xml:space="preserve">д</w:t>
      </w:r>
      <w:r>
        <w:rPr>
          <w:rFonts w:ascii="Times New Roman" w:hAnsi="Times New Roman" w:cs="Times New Roman"/>
          <w:sz w:val="24"/>
          <w:szCs w:val="24"/>
        </w:rPr>
        <w:t xml:space="preserve">оговора невозможно определить объем каждого вида </w:t>
      </w:r>
      <w:r>
        <w:rPr>
          <w:rFonts w:ascii="Times New Roman" w:hAnsi="Times New Roman" w:cs="Times New Roman"/>
          <w:sz w:val="24"/>
          <w:szCs w:val="24"/>
        </w:rPr>
        <w:t xml:space="preserve">полиграфического клея</w:t>
      </w:r>
      <w:r>
        <w:rPr>
          <w:rFonts w:ascii="Times New Roman" w:hAnsi="Times New Roman" w:cs="Times New Roman"/>
          <w:sz w:val="24"/>
          <w:szCs w:val="24"/>
        </w:rPr>
        <w:t xml:space="preserve">, который может потребоваться </w:t>
      </w: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окупателю в период действия договора, </w:t>
      </w: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окупатель установил лимит финансирования </w:t>
      </w:r>
      <w:r>
        <w:rPr>
          <w:rFonts w:ascii="Times New Roman" w:hAnsi="Times New Roman" w:cs="Times New Roman"/>
          <w:sz w:val="24"/>
          <w:szCs w:val="24"/>
        </w:rPr>
        <w:t xml:space="preserve">д</w:t>
      </w:r>
      <w:r>
        <w:rPr>
          <w:rFonts w:ascii="Times New Roman" w:hAnsi="Times New Roman" w:cs="Times New Roman"/>
          <w:sz w:val="24"/>
          <w:szCs w:val="24"/>
        </w:rPr>
        <w:t xml:space="preserve">оговора в размере </w:t>
      </w:r>
      <w:r>
        <w:rPr>
          <w:rFonts w:ascii="Times New Roman" w:hAnsi="Times New Roman" w:cs="Times New Roman"/>
          <w:b/>
          <w:sz w:val="24"/>
          <w:szCs w:val="24"/>
        </w:rPr>
        <w:t xml:space="preserve">25 000</w:t>
      </w:r>
      <w:r>
        <w:rPr>
          <w:rFonts w:ascii="Times New Roman" w:hAnsi="Times New Roman" w:cs="Times New Roman"/>
          <w:b/>
          <w:sz w:val="24"/>
          <w:szCs w:val="24"/>
        </w:rPr>
        <w:t xml:space="preserve"> 000 </w:t>
      </w:r>
      <w:r>
        <w:rPr>
          <w:rFonts w:ascii="Times New Roman" w:hAnsi="Times New Roman" w:cs="Times New Roman"/>
          <w:sz w:val="24"/>
          <w:szCs w:val="24"/>
        </w:rPr>
        <w:t xml:space="preserve">(</w:t>
      </w:r>
      <w:r>
        <w:rPr>
          <w:rFonts w:ascii="Times New Roman" w:hAnsi="Times New Roman" w:cs="Times New Roman"/>
          <w:sz w:val="24"/>
          <w:szCs w:val="24"/>
        </w:rPr>
        <w:t xml:space="preserve">двадцать пят</w:t>
      </w:r>
      <w:r>
        <w:rPr>
          <w:rFonts w:ascii="Times New Roman" w:hAnsi="Times New Roman" w:cs="Times New Roman"/>
          <w:sz w:val="24"/>
          <w:szCs w:val="24"/>
        </w:rPr>
        <w:t xml:space="preserve">ь</w:t>
      </w:r>
      <w:bookmarkStart w:id="0" w:name="_GoBack"/>
      <w:r/>
      <w:bookmarkEnd w:id="0"/>
      <w:r>
        <w:rPr>
          <w:rFonts w:ascii="Times New Roman" w:hAnsi="Times New Roman" w:cs="Times New Roman"/>
          <w:sz w:val="24"/>
          <w:szCs w:val="24"/>
        </w:rPr>
        <w:t xml:space="preserve"> миллионов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>
        <w:rPr>
          <w:rFonts w:ascii="Times New Roman" w:hAnsi="Times New Roman" w:cs="Times New Roman"/>
          <w:sz w:val="24"/>
          <w:szCs w:val="24"/>
        </w:rPr>
        <w:t xml:space="preserve">рублей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копеек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26" w:firstLine="141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Условие оплаты: отсрочка платежа в течение 7 рабочих дней со дня передачи партии </w:t>
      </w:r>
      <w:r>
        <w:rPr>
          <w:rFonts w:ascii="Times New Roman" w:hAnsi="Times New Roman" w:cs="Times New Roman"/>
          <w:sz w:val="24"/>
          <w:szCs w:val="24"/>
        </w:rPr>
        <w:t xml:space="preserve">т</w:t>
      </w:r>
      <w:r>
        <w:rPr>
          <w:rFonts w:ascii="Times New Roman" w:hAnsi="Times New Roman" w:cs="Times New Roman"/>
          <w:sz w:val="24"/>
          <w:szCs w:val="24"/>
        </w:rPr>
        <w:t xml:space="preserve">овара </w:t>
      </w: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окупателю и подписания товарной накладной.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26" w:firstLine="141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Срок действия </w:t>
      </w:r>
      <w:r>
        <w:rPr>
          <w:rFonts w:ascii="Times New Roman" w:hAnsi="Times New Roman" w:cs="Times New Roman"/>
          <w:sz w:val="24"/>
          <w:szCs w:val="24"/>
        </w:rPr>
        <w:t xml:space="preserve">д</w:t>
      </w:r>
      <w:r>
        <w:rPr>
          <w:rFonts w:ascii="Times New Roman" w:hAnsi="Times New Roman" w:cs="Times New Roman"/>
          <w:sz w:val="24"/>
          <w:szCs w:val="24"/>
        </w:rPr>
        <w:t xml:space="preserve">оговора: </w:t>
      </w:r>
      <w:r>
        <w:rPr>
          <w:rFonts w:ascii="Times New Roman" w:hAnsi="Times New Roman" w:cs="Times New Roman"/>
          <w:sz w:val="24"/>
          <w:szCs w:val="24"/>
        </w:rPr>
        <w:t xml:space="preserve">с даты</w:t>
      </w:r>
      <w:r>
        <w:rPr>
          <w:rFonts w:ascii="Times New Roman" w:hAnsi="Times New Roman" w:cs="Times New Roman"/>
          <w:sz w:val="24"/>
          <w:szCs w:val="24"/>
        </w:rPr>
        <w:t xml:space="preserve"> его</w:t>
      </w:r>
      <w:r>
        <w:rPr>
          <w:rFonts w:ascii="Times New Roman" w:hAnsi="Times New Roman" w:cs="Times New Roman"/>
          <w:sz w:val="24"/>
          <w:szCs w:val="24"/>
        </w:rPr>
        <w:t xml:space="preserve"> подпис</w:t>
      </w:r>
      <w:r>
        <w:rPr>
          <w:rFonts w:ascii="Times New Roman" w:hAnsi="Times New Roman" w:cs="Times New Roman"/>
          <w:sz w:val="24"/>
          <w:szCs w:val="24"/>
        </w:rPr>
        <w:t xml:space="preserve">ания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>
        <w:rPr>
          <w:rFonts w:ascii="Times New Roman" w:hAnsi="Times New Roman" w:cs="Times New Roman"/>
          <w:sz w:val="24"/>
          <w:szCs w:val="24"/>
        </w:rPr>
        <w:t xml:space="preserve">до 3</w:t>
      </w:r>
      <w:r>
        <w:rPr>
          <w:rFonts w:ascii="Times New Roman" w:hAnsi="Times New Roman" w:cs="Times New Roman"/>
          <w:sz w:val="24"/>
          <w:szCs w:val="24"/>
        </w:rPr>
        <w:t xml:space="preserve">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июня </w:t>
      </w:r>
      <w:r>
        <w:rPr>
          <w:rFonts w:ascii="Times New Roman" w:hAnsi="Times New Roman" w:cs="Times New Roman"/>
          <w:sz w:val="24"/>
          <w:szCs w:val="24"/>
        </w:rPr>
        <w:t xml:space="preserve">202</w:t>
      </w: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 xml:space="preserve">, а в части взаиморасчетов до полного исполнения сторонами своих обязательств.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26" w:firstLine="141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Срок поставки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партиями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hAnsi="Times New Roman" w:cs="Times New Roman"/>
          <w:sz w:val="24"/>
          <w:szCs w:val="24"/>
        </w:rPr>
        <w:t xml:space="preserve">течение </w:t>
      </w: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рабочих</w:t>
      </w:r>
      <w:r>
        <w:rPr>
          <w:rFonts w:ascii="Times New Roman" w:hAnsi="Times New Roman" w:cs="Times New Roman"/>
          <w:sz w:val="24"/>
          <w:szCs w:val="24"/>
        </w:rPr>
        <w:t xml:space="preserve"> дней с</w:t>
      </w:r>
      <w:r>
        <w:rPr>
          <w:rFonts w:ascii="Times New Roman" w:hAnsi="Times New Roman" w:cs="Times New Roman"/>
          <w:sz w:val="24"/>
          <w:szCs w:val="24"/>
        </w:rPr>
        <w:t xml:space="preserve"> момента получения заявки </w:t>
      </w: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окупателя. Количество заявок 2-7 заявок в месяц. Минимальный объем в заявке: 100 килограмм.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26" w:firstLine="141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Место доставки товара: 420066, РТ, г. Казань, ул. Декабристов, </w:t>
      </w:r>
      <w:r>
        <w:rPr>
          <w:rFonts w:ascii="Times New Roman" w:hAnsi="Times New Roman" w:cs="Times New Roman"/>
          <w:sz w:val="24"/>
          <w:szCs w:val="24"/>
        </w:rPr>
        <w:t xml:space="preserve">зд</w:t>
      </w:r>
      <w:r>
        <w:rPr>
          <w:rFonts w:ascii="Times New Roman" w:hAnsi="Times New Roman" w:cs="Times New Roman"/>
          <w:sz w:val="24"/>
          <w:szCs w:val="24"/>
        </w:rPr>
        <w:t xml:space="preserve">. 2.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26" w:firstLine="141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</w:t>
      </w:r>
      <w:r>
        <w:rPr>
          <w:color w:val="1a1a1a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связи с тем, что </w:t>
      </w:r>
      <w:r>
        <w:rPr>
          <w:rFonts w:ascii="Times New Roman" w:hAnsi="Times New Roman" w:cs="Times New Roman"/>
          <w:sz w:val="24"/>
          <w:szCs w:val="24"/>
        </w:rPr>
        <w:t xml:space="preserve">п</w:t>
      </w:r>
      <w:r>
        <w:rPr>
          <w:rFonts w:ascii="Times New Roman" w:hAnsi="Times New Roman" w:cs="Times New Roman"/>
          <w:sz w:val="24"/>
          <w:szCs w:val="24"/>
        </w:rPr>
        <w:t xml:space="preserve">окупатель</w:t>
      </w:r>
      <w:r>
        <w:rPr>
          <w:rFonts w:ascii="Times New Roman" w:hAnsi="Times New Roman" w:cs="Times New Roman"/>
          <w:sz w:val="24"/>
          <w:szCs w:val="24"/>
        </w:rPr>
        <w:t xml:space="preserve"> входит в перечень организаций, указанных в аб</w:t>
      </w:r>
      <w:r>
        <w:rPr>
          <w:rFonts w:ascii="Times New Roman" w:hAnsi="Times New Roman" w:cs="Times New Roman"/>
          <w:sz w:val="24"/>
          <w:szCs w:val="24"/>
        </w:rPr>
        <w:t xml:space="preserve">заце втором подпункта "л" пункта 4 Постановления Правительства Российской Федерации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</w:t>
      </w:r>
      <w:r>
        <w:rPr>
          <w:rFonts w:ascii="Times New Roman" w:hAnsi="Times New Roman" w:cs="Times New Roman"/>
          <w:sz w:val="24"/>
          <w:szCs w:val="24"/>
        </w:rPr>
        <w:t xml:space="preserve"> нужд, закупок товаров, работ, услуг отдельными видами юридических лиц" (далее- Постановление), на данную закупку не распространяется запрет, ограничение, преимущество, предусмотренные пунктом 1 Постановления, согласно подпункту "м" пункта 4 Постановления.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426" w:firstLine="141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left="360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Style w:val="643"/>
        <w:tblW w:w="5127" w:type="pct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263"/>
        <w:gridCol w:w="4115"/>
        <w:gridCol w:w="4821"/>
        <w:gridCol w:w="2178"/>
      </w:tblGrid>
      <w:tr>
        <w:tblPrEx/>
        <w:trPr>
          <w:jc w:val="center"/>
          <w:trHeight w:val="1047"/>
        </w:trPr>
        <w:tc>
          <w:tcPr>
            <w:tcW w:w="562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3263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gridSpan w:val="2"/>
            <w:tcW w:w="8936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Технические характеристики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shd w:val="clear" w:color="auto" w:fill="auto"/>
            <w:tcW w:w="2178" w:type="dxa"/>
            <w:vAlign w:val="center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Начальная </w:t>
              <w:br/>
              <w:t xml:space="preserve">(максимальная) цена за ед.</w:t>
            </w:r>
            <w:r>
              <w:rPr>
                <w:rFonts w:ascii="Times New Roman" w:hAnsi="Times New Roman" w:cs="Times New Roman"/>
                <w:b/>
              </w:rPr>
              <w:t xml:space="preserve">,</w:t>
            </w:r>
            <w:r>
              <w:rPr>
                <w:rFonts w:ascii="Times New Roman" w:hAnsi="Times New Roman" w:cs="Times New Roman"/>
                <w:b/>
              </w:rPr>
              <w:t xml:space="preserve"> руб.</w:t>
            </w:r>
            <w:r>
              <w:rPr>
                <w:rFonts w:ascii="Times New Roman" w:hAnsi="Times New Roman" w:cs="Times New Roman"/>
                <w:b/>
              </w:rPr>
              <w:t xml:space="preserve">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в </w:t>
            </w:r>
            <w:r>
              <w:rPr>
                <w:rFonts w:ascii="Times New Roman" w:hAnsi="Times New Roman" w:cs="Times New Roman"/>
                <w:b/>
              </w:rPr>
              <w:t xml:space="preserve">т.ч</w:t>
            </w:r>
            <w:r>
              <w:rPr>
                <w:rFonts w:ascii="Times New Roman" w:hAnsi="Times New Roman" w:cs="Times New Roman"/>
                <w:b/>
              </w:rPr>
              <w:t xml:space="preserve">.</w:t>
            </w:r>
            <w:r>
              <w:rPr>
                <w:rFonts w:ascii="Times New Roman" w:hAnsi="Times New Roman" w:cs="Times New Roman"/>
                <w:b/>
              </w:rPr>
              <w:t xml:space="preserve"> НДС (22%)</w:t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  <w:tr>
        <w:tblPrEx/>
        <w:trPr>
          <w:jc w:val="center"/>
          <w:trHeight w:val="215"/>
        </w:trPr>
        <w:tc>
          <w:tcPr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3" w:type="dxa"/>
            <w:vAlign w:val="center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Дисперсионный клей на основе синтетических смол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продукта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Дисперсия, содержащая пластификатор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62</w:t>
            </w:r>
            <w:r>
              <w:rPr>
                <w:rFonts w:ascii="Times New Roman" w:hAnsi="Times New Roman" w:cs="Times New Roman"/>
              </w:rPr>
              <w:t xml:space="preserve">8</w:t>
            </w:r>
            <w:r>
              <w:rPr>
                <w:rFonts w:ascii="Times New Roman" w:hAnsi="Times New Roman" w:cs="Times New Roman"/>
              </w:rPr>
              <w:t xml:space="preserve">,00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197"/>
        </w:trPr>
        <w:tc>
          <w:tcPr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Вязкость, мПа*с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  <w:b/>
              </w:rPr>
              <w:t xml:space="preserve">не менее</w:t>
            </w:r>
            <w:r>
              <w:rPr>
                <w:rFonts w:ascii="Times New Roman" w:hAnsi="Times New Roman" w:cs="Times New Roman"/>
              </w:rPr>
              <w:t xml:space="preserve"> 800 до </w:t>
            </w:r>
            <w:r>
              <w:rPr>
                <w:rFonts w:ascii="Times New Roman" w:hAnsi="Times New Roman" w:cs="Times New Roman"/>
                <w:b/>
              </w:rPr>
              <w:t xml:space="preserve">не более</w:t>
            </w:r>
            <w:r>
              <w:rPr>
                <w:rFonts w:ascii="Times New Roman" w:hAnsi="Times New Roman" w:cs="Times New Roman"/>
              </w:rPr>
              <w:t xml:space="preserve"> 1 000*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163"/>
        </w:trPr>
        <w:tc>
          <w:tcPr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</w:t>
            </w:r>
            <w:r>
              <w:rPr>
                <w:rFonts w:ascii="Times New Roman" w:hAnsi="Times New Roman" w:cs="Times New Roman"/>
              </w:rPr>
              <w:t xml:space="preserve"> – уровень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  <w:b/>
              </w:rPr>
              <w:t xml:space="preserve">не менее</w:t>
            </w:r>
            <w:r>
              <w:rPr>
                <w:rFonts w:ascii="Times New Roman" w:hAnsi="Times New Roman" w:cs="Times New Roman"/>
              </w:rPr>
              <w:t xml:space="preserve"> 3,5 до </w:t>
            </w:r>
            <w:r>
              <w:rPr>
                <w:rFonts w:ascii="Times New Roman" w:hAnsi="Times New Roman" w:cs="Times New Roman"/>
                <w:b/>
              </w:rPr>
              <w:t xml:space="preserve">не более</w:t>
            </w:r>
            <w:r>
              <w:rPr>
                <w:rFonts w:ascii="Times New Roman" w:hAnsi="Times New Roman" w:cs="Times New Roman"/>
              </w:rPr>
              <w:t xml:space="preserve"> 5,5*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529"/>
        </w:trPr>
        <w:tc>
          <w:tcPr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Рабочие температуры, °C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  <w:b/>
              </w:rPr>
              <w:t xml:space="preserve">не менее</w:t>
            </w:r>
            <w:r>
              <w:rPr>
                <w:rFonts w:ascii="Times New Roman" w:hAnsi="Times New Roman" w:cs="Times New Roman"/>
              </w:rPr>
              <w:t xml:space="preserve"> 18 до </w:t>
            </w:r>
            <w:r>
              <w:rPr>
                <w:rFonts w:ascii="Times New Roman" w:hAnsi="Times New Roman" w:cs="Times New Roman"/>
                <w:b/>
              </w:rPr>
              <w:t xml:space="preserve">не более</w:t>
            </w:r>
            <w:r>
              <w:rPr>
                <w:rFonts w:ascii="Times New Roman" w:hAnsi="Times New Roman" w:cs="Times New Roman"/>
              </w:rPr>
              <w:t xml:space="preserve"> 25*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330"/>
        </w:trPr>
        <w:tc>
          <w:tcPr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Способ нанесения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форсунка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150"/>
        </w:trPr>
        <w:tc>
          <w:tcPr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Единица измерение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660"/>
        </w:trPr>
        <w:tc>
          <w:tcPr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хранения (в невскрытой упаковке), мес.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не менее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84"/>
        </w:trPr>
        <w:tc>
          <w:tcPr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3" w:type="dxa"/>
            <w:vAlign w:val="center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Дисперсионный клей на основе синтетических смол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продукта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Дисперсия, содержащая пластификатор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630,00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90"/>
        </w:trPr>
        <w:tc>
          <w:tcPr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Вязкость, мПа*с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  <w:b/>
              </w:rPr>
              <w:t xml:space="preserve">не менее</w:t>
            </w:r>
            <w:r>
              <w:rPr>
                <w:rFonts w:ascii="Times New Roman" w:hAnsi="Times New Roman" w:cs="Times New Roman"/>
              </w:rPr>
              <w:t xml:space="preserve"> 4 200 до </w:t>
            </w:r>
            <w:r>
              <w:rPr>
                <w:rFonts w:ascii="Times New Roman" w:hAnsi="Times New Roman" w:cs="Times New Roman"/>
                <w:b/>
              </w:rPr>
              <w:t xml:space="preserve">не более</w:t>
            </w:r>
            <w:r>
              <w:rPr>
                <w:rFonts w:ascii="Times New Roman" w:hAnsi="Times New Roman" w:cs="Times New Roman"/>
              </w:rPr>
              <w:t xml:space="preserve"> 6 400*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90"/>
        </w:trPr>
        <w:tc>
          <w:tcPr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pH</w:t>
            </w:r>
            <w:r>
              <w:rPr>
                <w:rFonts w:ascii="Times New Roman" w:hAnsi="Times New Roman" w:cs="Times New Roman"/>
              </w:rPr>
              <w:t xml:space="preserve"> – уровень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  <w:b/>
              </w:rPr>
              <w:t xml:space="preserve">не менее</w:t>
            </w:r>
            <w:r>
              <w:rPr>
                <w:rFonts w:ascii="Times New Roman" w:hAnsi="Times New Roman" w:cs="Times New Roman"/>
              </w:rPr>
              <w:t xml:space="preserve"> 3,0 до </w:t>
            </w:r>
            <w:r>
              <w:rPr>
                <w:rFonts w:ascii="Times New Roman" w:hAnsi="Times New Roman" w:cs="Times New Roman"/>
                <w:b/>
              </w:rPr>
              <w:t xml:space="preserve">не более</w:t>
            </w:r>
            <w:r>
              <w:rPr>
                <w:rFonts w:ascii="Times New Roman" w:hAnsi="Times New Roman" w:cs="Times New Roman"/>
              </w:rPr>
              <w:t xml:space="preserve"> 5,0*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84"/>
        </w:trPr>
        <w:tc>
          <w:tcPr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Рабочие температуры, °C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  <w:b/>
              </w:rPr>
              <w:t xml:space="preserve">не менее</w:t>
            </w:r>
            <w:r>
              <w:rPr>
                <w:rFonts w:ascii="Times New Roman" w:hAnsi="Times New Roman" w:cs="Times New Roman"/>
              </w:rPr>
              <w:t xml:space="preserve"> 18 до </w:t>
            </w:r>
            <w:r>
              <w:rPr>
                <w:rFonts w:ascii="Times New Roman" w:hAnsi="Times New Roman" w:cs="Times New Roman"/>
                <w:b/>
              </w:rPr>
              <w:t xml:space="preserve">не более</w:t>
            </w:r>
            <w:r>
              <w:rPr>
                <w:rFonts w:ascii="Times New Roman" w:hAnsi="Times New Roman" w:cs="Times New Roman"/>
              </w:rPr>
              <w:t xml:space="preserve"> 25*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285"/>
        </w:trPr>
        <w:tc>
          <w:tcPr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Способ нанесения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диск, валок, форсунка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195"/>
        </w:trPr>
        <w:tc>
          <w:tcPr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Единица измерение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100"/>
        </w:trPr>
        <w:tc>
          <w:tcPr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хранения (в невскрытой упаковке), мес.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не менее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80"/>
        </w:trPr>
        <w:tc>
          <w:tcPr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W w:w="8936" w:type="dxa"/>
            <w:vAlign w:val="center"/>
            <w:textDirection w:val="lrTb"/>
            <w:noWrap w:val="false"/>
          </w:tcPr>
          <w:p>
            <w:pPr>
              <w:jc w:val="both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Применение: склеивание картонажных изделий с нанесенным покрытием, склеивание книжного блока в переплетную интегральную крышку, </w:t>
            </w:r>
            <w:r>
              <w:rPr>
                <w:rFonts w:ascii="Times New Roman" w:hAnsi="Times New Roman" w:cs="Times New Roman"/>
              </w:rPr>
              <w:t xml:space="preserve">каширование</w:t>
            </w:r>
            <w:r>
              <w:rPr>
                <w:rFonts w:ascii="Times New Roman" w:hAnsi="Times New Roman" w:cs="Times New Roman"/>
              </w:rPr>
              <w:t xml:space="preserve"> полимерных пленок.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355"/>
        </w:trPr>
        <w:tc>
          <w:tcPr>
            <w:shd w:val="clear" w:color="auto" w:fill="auto"/>
            <w:tcW w:w="562" w:type="dxa"/>
            <w:vAlign w:val="center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</w:t>
            </w:r>
            <w:r>
              <w:rPr>
                <w:rFonts w:ascii="Times New Roman" w:hAnsi="Times New Roman" w:cs="Times New Roman"/>
              </w:rPr>
              <w:t xml:space="preserve">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3263" w:type="dxa"/>
            <w:vAlign w:val="center"/>
            <w:vMerge w:val="restart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Термоклей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Тип продукта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Клей расплав, изготовленный по технологии ЭВА (</w:t>
            </w:r>
            <w:r>
              <w:rPr>
                <w:rFonts w:ascii="Times New Roman" w:hAnsi="Times New Roman" w:cs="Times New Roman"/>
              </w:rPr>
              <w:t xml:space="preserve">этиленвинилацетат</w:t>
            </w:r>
            <w:r>
              <w:rPr>
                <w:rFonts w:ascii="Times New Roman" w:hAnsi="Times New Roman" w:cs="Times New Roman"/>
              </w:rPr>
              <w:t xml:space="preserve"> (сополимер этилена и винилацетата))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775</w:t>
            </w:r>
            <w:r>
              <w:rPr>
                <w:rFonts w:ascii="Times New Roman" w:hAnsi="Times New Roman" w:cs="Times New Roman"/>
              </w:rPr>
              <w:t xml:space="preserve">,00</w:t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92"/>
        </w:trPr>
        <w:tc>
          <w:tcPr>
            <w:shd w:val="clear" w:color="auto" w:fill="auto"/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Вязкость (при 180 °C, шпиндель 27, скорость 20 об/мин), мПа*сек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  <w:b/>
              </w:rPr>
              <w:t xml:space="preserve">не менее</w:t>
            </w:r>
            <w:r>
              <w:rPr>
                <w:rFonts w:ascii="Times New Roman" w:hAnsi="Times New Roman" w:cs="Times New Roman"/>
              </w:rPr>
              <w:t xml:space="preserve"> 6 200 до </w:t>
            </w:r>
            <w:r>
              <w:rPr>
                <w:rFonts w:ascii="Times New Roman" w:hAnsi="Times New Roman" w:cs="Times New Roman"/>
                <w:b/>
              </w:rPr>
              <w:t xml:space="preserve">не более</w:t>
            </w:r>
            <w:r>
              <w:rPr>
                <w:rFonts w:ascii="Times New Roman" w:hAnsi="Times New Roman" w:cs="Times New Roman"/>
              </w:rPr>
              <w:t xml:space="preserve"> 6 300*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69"/>
        </w:trPr>
        <w:tc>
          <w:tcPr>
            <w:shd w:val="clear" w:color="auto" w:fill="auto"/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Рабочие температуры, °C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от </w:t>
            </w:r>
            <w:r>
              <w:rPr>
                <w:rFonts w:ascii="Times New Roman" w:hAnsi="Times New Roman" w:cs="Times New Roman"/>
                <w:b/>
              </w:rPr>
              <w:t xml:space="preserve">не менее</w:t>
            </w:r>
            <w:r>
              <w:rPr>
                <w:rFonts w:ascii="Times New Roman" w:hAnsi="Times New Roman" w:cs="Times New Roman"/>
              </w:rPr>
              <w:t xml:space="preserve"> 160 до </w:t>
            </w:r>
            <w:r>
              <w:rPr>
                <w:rFonts w:ascii="Times New Roman" w:hAnsi="Times New Roman" w:cs="Times New Roman"/>
                <w:b/>
              </w:rPr>
              <w:t xml:space="preserve">не более</w:t>
            </w:r>
            <w:r>
              <w:rPr>
                <w:rFonts w:ascii="Times New Roman" w:hAnsi="Times New Roman" w:cs="Times New Roman"/>
              </w:rPr>
              <w:t xml:space="preserve"> 180* 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80"/>
        </w:trPr>
        <w:tc>
          <w:tcPr>
            <w:shd w:val="clear" w:color="auto" w:fill="auto"/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Способ нанесения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ролик, обычные переплетные машины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525"/>
        </w:trPr>
        <w:tc>
          <w:tcPr>
            <w:shd w:val="clear" w:color="auto" w:fill="auto"/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Срок хранения (в невскрытой упаковке), мес.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не менее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12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242"/>
        </w:trPr>
        <w:tc>
          <w:tcPr>
            <w:shd w:val="clear" w:color="auto" w:fill="auto"/>
            <w:tcW w:w="562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3263" w:type="dxa"/>
            <w:vAlign w:val="center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4115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Единица измерение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auto"/>
            <w:tcW w:w="4821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>
          <w:jc w:val="center"/>
          <w:trHeight w:val="69"/>
        </w:trPr>
        <w:tc>
          <w:tcPr>
            <w:shd w:val="clear" w:color="auto" w:fill="auto"/>
            <w:tcW w:w="562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808080" w:themeColor="background1" w:themeShade="80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</w:rPr>
            </w:r>
            <w:r>
              <w:rPr>
                <w:rFonts w:ascii="Times New Roman" w:hAnsi="Times New Roman" w:cs="Times New Roman"/>
                <w:color w:val="808080" w:themeColor="background1" w:themeShade="80"/>
              </w:rPr>
            </w:r>
          </w:p>
        </w:tc>
        <w:tc>
          <w:tcPr>
            <w:shd w:val="clear" w:color="auto" w:fill="auto"/>
            <w:tcW w:w="3263" w:type="dxa"/>
            <w:vMerge w:val="continue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color w:val="808080" w:themeColor="background1" w:themeShade="80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</w:rPr>
            </w:r>
            <w:r>
              <w:rPr>
                <w:rFonts w:ascii="Times New Roman" w:hAnsi="Times New Roman" w:cs="Times New Roman"/>
                <w:color w:val="808080" w:themeColor="background1" w:themeShade="80"/>
              </w:rPr>
            </w:r>
          </w:p>
        </w:tc>
        <w:tc>
          <w:tcPr>
            <w:gridSpan w:val="2"/>
            <w:shd w:val="clear" w:color="auto" w:fill="auto"/>
            <w:tcW w:w="8936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Применение: бесшовное скрепление, книги в мягкой обложке, корешковый клей для </w:t>
            </w:r>
            <w:r>
              <w:rPr>
                <w:rFonts w:ascii="Times New Roman" w:hAnsi="Times New Roman" w:cs="Times New Roman"/>
              </w:rPr>
              <w:t xml:space="preserve">сшитых книг</w:t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d9d9d9" w:themeFill="background1" w:themeFillShade="D9"/>
            <w:tcW w:w="2178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color w:val="808080" w:themeColor="background1" w:themeShade="80"/>
              </w:rPr>
            </w:pPr>
            <w:r>
              <w:rPr>
                <w:rFonts w:ascii="Times New Roman" w:hAnsi="Times New Roman" w:cs="Times New Roman"/>
                <w:color w:val="808080" w:themeColor="background1" w:themeShade="80"/>
              </w:rPr>
            </w:r>
            <w:r>
              <w:rPr>
                <w:rFonts w:ascii="Times New Roman" w:hAnsi="Times New Roman" w:cs="Times New Roman"/>
                <w:color w:val="808080" w:themeColor="background1" w:themeShade="80"/>
              </w:rPr>
            </w:r>
          </w:p>
        </w:tc>
      </w:tr>
      <w:tr>
        <w:tblPrEx/>
        <w:trPr>
          <w:jc w:val="center"/>
          <w:trHeight w:val="70"/>
        </w:trPr>
        <w:tc>
          <w:tcPr>
            <w:shd w:val="clear" w:color="auto" w:fill="auto"/>
            <w:tcW w:w="562" w:type="dxa"/>
            <w:vAlign w:val="center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3"/>
            <w:shd w:val="clear" w:color="auto" w:fill="auto"/>
            <w:tcW w:w="12199" w:type="dxa"/>
            <w:textDirection w:val="lrTb"/>
            <w:noWrap w:val="false"/>
          </w:tcPr>
          <w:p>
            <w:pPr>
              <w:widowControl w:val="of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Итого начальная (максимальная) цена за единицу</w:t>
            </w:r>
            <w:r>
              <w:rPr>
                <w:rFonts w:ascii="Times New Roman" w:hAnsi="Times New Roman" w:cs="Times New Roman"/>
                <w:b/>
              </w:rPr>
              <w:t xml:space="preserve">,</w:t>
            </w:r>
            <w:r>
              <w:rPr>
                <w:rFonts w:ascii="Times New Roman" w:hAnsi="Times New Roman" w:cs="Times New Roman"/>
                <w:b/>
              </w:rPr>
              <w:t xml:space="preserve"> руб.</w:t>
            </w:r>
            <w:r>
              <w:rPr>
                <w:rFonts w:ascii="Times New Roman" w:hAnsi="Times New Roman" w:cs="Times New Roman"/>
                <w:b/>
              </w:rPr>
              <w:t xml:space="preserve">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в </w:t>
            </w:r>
            <w:r>
              <w:rPr>
                <w:rFonts w:ascii="Times New Roman" w:hAnsi="Times New Roman" w:cs="Times New Roman"/>
                <w:b/>
              </w:rPr>
              <w:t xml:space="preserve">т.ч</w:t>
            </w:r>
            <w:r>
              <w:rPr>
                <w:rFonts w:ascii="Times New Roman" w:hAnsi="Times New Roman" w:cs="Times New Roman"/>
                <w:b/>
              </w:rPr>
              <w:t xml:space="preserve">.</w:t>
            </w:r>
            <w:r>
              <w:rPr>
                <w:rFonts w:ascii="Times New Roman" w:hAnsi="Times New Roman" w:cs="Times New Roman"/>
                <w:b/>
              </w:rPr>
              <w:t xml:space="preserve"> НДС (2</w:t>
            </w:r>
            <w:r>
              <w:rPr>
                <w:rFonts w:ascii="Times New Roman" w:hAnsi="Times New Roman" w:cs="Times New Roman"/>
                <w:b/>
              </w:rPr>
              <w:t xml:space="preserve">2</w:t>
            </w:r>
            <w:r>
              <w:rPr>
                <w:rFonts w:ascii="Times New Roman" w:hAnsi="Times New Roman" w:cs="Times New Roman"/>
                <w:b/>
              </w:rPr>
              <w:t xml:space="preserve">%):</w:t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2178" w:type="dxa"/>
            <w:textDirection w:val="lrTb"/>
            <w:noWrap w:val="false"/>
          </w:tcPr>
          <w:p>
            <w:pPr>
              <w:jc w:val="center"/>
              <w:widowControl w:val="of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20</w:t>
            </w:r>
            <w:r>
              <w:rPr>
                <w:rFonts w:ascii="Times New Roman" w:hAnsi="Times New Roman" w:cs="Times New Roman"/>
                <w:b/>
              </w:rPr>
              <w:t xml:space="preserve">33</w:t>
            </w:r>
            <w:r>
              <w:rPr>
                <w:rFonts w:ascii="Times New Roman" w:hAnsi="Times New Roman" w:cs="Times New Roman"/>
                <w:b/>
              </w:rPr>
              <w:t xml:space="preserve">,00</w:t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</w:tbl>
    <w:p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* в случае если в позиции Технического задания запроса котировок в описании товара возле числового значения (диапазон) стоит *, то Участнику закупки необходимо указать диапазон значений, соответствующий предлагаемому к поставке/использованию товара.</w:t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6838" w:h="11906" w:orient="landscape"/>
      <w:pgMar w:top="851" w:right="1134" w:bottom="709" w:left="1134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Devanagari">
    <w:panose1 w:val="020B0502040504020204"/>
  </w:font>
  <w:font w:name="Liberation Sans">
    <w:panose1 w:val="020B0604020202020204"/>
  </w:font>
  <w:font w:name="Tahoma">
    <w:panose1 w:val="020B060403050404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19"/>
    <w:link w:val="618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19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19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1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1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1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1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1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1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19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19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19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19"/>
    <w:link w:val="44"/>
    <w:uiPriority w:val="99"/>
  </w:style>
  <w:style w:type="character" w:styleId="47">
    <w:name w:val="Caption Char"/>
    <w:basedOn w:val="632"/>
    <w:link w:val="44"/>
    <w:uiPriority w:val="99"/>
  </w:style>
  <w:style w:type="table" w:styleId="49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19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19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  <w:pPr>
      <w:spacing w:after="200" w:line="276" w:lineRule="auto"/>
    </w:pPr>
  </w:style>
  <w:style w:type="paragraph" w:styleId="618">
    <w:name w:val="Heading 1"/>
    <w:basedOn w:val="617"/>
    <w:link w:val="627"/>
    <w:uiPriority w:val="9"/>
    <w:qFormat/>
    <w:pPr>
      <w:spacing w:beforeAutospacing="1" w:afterAutospacing="1" w:line="240" w:lineRule="auto"/>
      <w:outlineLvl w:val="0"/>
    </w:pPr>
    <w:rPr>
      <w:rFonts w:ascii="Times New Roman" w:hAnsi="Times New Roman" w:eastAsia="Times New Roman" w:cs="Times New Roman"/>
      <w:b/>
      <w:bCs/>
      <w:sz w:val="48"/>
      <w:szCs w:val="48"/>
    </w:rPr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character" w:styleId="622" w:customStyle="1">
    <w:name w:val="apple-converted-space"/>
    <w:basedOn w:val="619"/>
    <w:qFormat/>
  </w:style>
  <w:style w:type="character" w:styleId="623">
    <w:name w:val="annotation reference"/>
    <w:basedOn w:val="619"/>
    <w:uiPriority w:val="99"/>
    <w:semiHidden/>
    <w:unhideWhenUsed/>
    <w:qFormat/>
    <w:rPr>
      <w:sz w:val="16"/>
      <w:szCs w:val="16"/>
    </w:rPr>
  </w:style>
  <w:style w:type="character" w:styleId="624" w:customStyle="1">
    <w:name w:val="Текст примечания Знак"/>
    <w:basedOn w:val="619"/>
    <w:link w:val="640"/>
    <w:uiPriority w:val="99"/>
    <w:semiHidden/>
    <w:qFormat/>
    <w:rPr>
      <w:sz w:val="20"/>
      <w:szCs w:val="20"/>
    </w:rPr>
  </w:style>
  <w:style w:type="character" w:styleId="625" w:customStyle="1">
    <w:name w:val="Тема примечания Знак"/>
    <w:basedOn w:val="624"/>
    <w:link w:val="641"/>
    <w:uiPriority w:val="99"/>
    <w:semiHidden/>
    <w:qFormat/>
    <w:rPr>
      <w:b/>
      <w:bCs/>
      <w:sz w:val="20"/>
      <w:szCs w:val="20"/>
    </w:rPr>
  </w:style>
  <w:style w:type="character" w:styleId="626" w:customStyle="1">
    <w:name w:val="Текст выноски Знак"/>
    <w:basedOn w:val="619"/>
    <w:link w:val="642"/>
    <w:uiPriority w:val="99"/>
    <w:semiHidden/>
    <w:qFormat/>
    <w:rPr>
      <w:rFonts w:ascii="Tahoma" w:hAnsi="Tahoma" w:cs="Tahoma"/>
      <w:sz w:val="16"/>
      <w:szCs w:val="16"/>
    </w:rPr>
  </w:style>
  <w:style w:type="character" w:styleId="627" w:customStyle="1">
    <w:name w:val="Заголовок 1 Знак"/>
    <w:basedOn w:val="619"/>
    <w:link w:val="618"/>
    <w:uiPriority w:val="9"/>
    <w:qFormat/>
    <w:rPr>
      <w:rFonts w:ascii="Times New Roman" w:hAnsi="Times New Roman" w:eastAsia="Times New Roman" w:cs="Times New Roman"/>
      <w:b/>
      <w:bCs/>
      <w:sz w:val="48"/>
      <w:szCs w:val="48"/>
    </w:rPr>
  </w:style>
  <w:style w:type="character" w:styleId="628">
    <w:name w:val="Hyperlink"/>
    <w:basedOn w:val="619"/>
    <w:uiPriority w:val="99"/>
    <w:unhideWhenUsed/>
    <w:rPr>
      <w:color w:val="0000ff" w:themeColor="hyperlink"/>
      <w:u w:val="single"/>
    </w:rPr>
  </w:style>
  <w:style w:type="paragraph" w:styleId="629" w:customStyle="1">
    <w:name w:val="Заголовок1"/>
    <w:basedOn w:val="617"/>
    <w:next w:val="630"/>
    <w:qFormat/>
    <w:pPr>
      <w:keepNext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630">
    <w:name w:val="Body Text"/>
    <w:basedOn w:val="617"/>
    <w:pPr>
      <w:spacing w:after="140"/>
    </w:pPr>
  </w:style>
  <w:style w:type="paragraph" w:styleId="631">
    <w:name w:val="List"/>
    <w:basedOn w:val="630"/>
    <w:rPr>
      <w:rFonts w:cs="Noto Sans Devanagari"/>
    </w:rPr>
  </w:style>
  <w:style w:type="paragraph" w:styleId="632">
    <w:name w:val="Caption"/>
    <w:basedOn w:val="617"/>
    <w:qFormat/>
    <w:pPr>
      <w:spacing w:before="120" w:after="120"/>
      <w:suppressLineNumbers/>
    </w:pPr>
    <w:rPr>
      <w:rFonts w:cs="Noto Sans Devanagari"/>
      <w:i/>
      <w:iCs/>
      <w:sz w:val="24"/>
      <w:szCs w:val="24"/>
    </w:rPr>
  </w:style>
  <w:style w:type="paragraph" w:styleId="633">
    <w:name w:val="index heading"/>
    <w:basedOn w:val="617"/>
    <w:qFormat/>
    <w:pPr>
      <w:suppressLineNumbers/>
    </w:pPr>
    <w:rPr>
      <w:rFonts w:cs="Noto Sans Devanagari"/>
    </w:rPr>
  </w:style>
  <w:style w:type="paragraph" w:styleId="634" w:customStyle="1">
    <w:name w:val="Заголовок1"/>
    <w:basedOn w:val="617"/>
    <w:next w:val="630"/>
    <w:qFormat/>
    <w:pPr>
      <w:keepNext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635" w:customStyle="1">
    <w:name w:val="caption1"/>
    <w:basedOn w:val="617"/>
    <w:qFormat/>
    <w:pPr>
      <w:spacing w:before="120" w:after="120"/>
      <w:suppressLineNumbers/>
    </w:pPr>
    <w:rPr>
      <w:rFonts w:cs="Noto Sans Devanagari"/>
      <w:i/>
      <w:iCs/>
      <w:sz w:val="24"/>
      <w:szCs w:val="24"/>
    </w:rPr>
  </w:style>
  <w:style w:type="paragraph" w:styleId="636" w:customStyle="1">
    <w:name w:val="caption11"/>
    <w:basedOn w:val="617"/>
    <w:qFormat/>
    <w:pPr>
      <w:spacing w:before="120" w:after="120"/>
      <w:suppressLineNumbers/>
    </w:pPr>
    <w:rPr>
      <w:rFonts w:cs="Noto Sans Devanagari"/>
      <w:i/>
      <w:iCs/>
      <w:sz w:val="24"/>
      <w:szCs w:val="24"/>
    </w:rPr>
  </w:style>
  <w:style w:type="paragraph" w:styleId="637">
    <w:name w:val="No Spacing"/>
    <w:uiPriority w:val="1"/>
    <w:qFormat/>
  </w:style>
  <w:style w:type="paragraph" w:styleId="638">
    <w:name w:val="Normal (Web)"/>
    <w:basedOn w:val="617"/>
    <w:uiPriority w:val="99"/>
    <w:unhideWhenUsed/>
    <w:qFormat/>
    <w:pPr>
      <w:spacing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639">
    <w:name w:val="List Paragraph"/>
    <w:basedOn w:val="617"/>
    <w:uiPriority w:val="34"/>
    <w:qFormat/>
    <w:pPr>
      <w:contextualSpacing/>
      <w:ind w:left="720"/>
    </w:pPr>
  </w:style>
  <w:style w:type="paragraph" w:styleId="640">
    <w:name w:val="annotation text"/>
    <w:basedOn w:val="617"/>
    <w:link w:val="624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641">
    <w:name w:val="annotation subject"/>
    <w:basedOn w:val="640"/>
    <w:next w:val="640"/>
    <w:link w:val="625"/>
    <w:uiPriority w:val="99"/>
    <w:semiHidden/>
    <w:unhideWhenUsed/>
    <w:qFormat/>
    <w:rPr>
      <w:b/>
      <w:bCs/>
    </w:rPr>
  </w:style>
  <w:style w:type="paragraph" w:styleId="642">
    <w:name w:val="Balloon Text"/>
    <w:basedOn w:val="617"/>
    <w:link w:val="62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643">
    <w:name w:val="Table Grid"/>
    <w:basedOn w:val="62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9D870-A806-4CAA-9CDC-A88DACBAA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SPecialiST RePack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Зам.Генер</dc:creator>
  <dc:description/>
  <dc:language>ru-RU</dc:language>
  <cp:revision>58</cp:revision>
  <dcterms:created xsi:type="dcterms:W3CDTF">2023-12-05T06:09:00Z</dcterms:created>
  <dcterms:modified xsi:type="dcterms:W3CDTF">2026-07-06T05:50:54Z</dcterms:modified>
</cp:coreProperties>
</file>