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УТВЕРЖДАЮ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Заместитель председателя 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Государственного комитета 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Республики Татарстан по закупкам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_____________/М.С. Алмазова/</w:t>
      </w:r>
      <w:r>
        <w:rPr>
          <w:sz w:val="20"/>
        </w:rPr>
      </w:r>
      <w:r>
        <w:rPr>
          <w:sz w:val="20"/>
        </w:rPr>
      </w:r>
    </w:p>
    <w:p>
      <w:pPr>
        <w:pStyle w:val="927"/>
        <w:numPr>
          <w:ilvl w:val="0"/>
          <w:numId w:val="0"/>
        </w:numPr>
        <w:ind w:left="0" w:firstLine="0"/>
        <w:jc w:val="center"/>
        <w:spacing w:before="0" w:after="0"/>
        <w:widowControl w:val="off"/>
        <w:rPr>
          <w:color w:val="000000"/>
          <w:sz w:val="20"/>
        </w:rPr>
        <w:outlineLvl w:val="0"/>
      </w:pPr>
      <w:r>
        <w:rPr>
          <w:color w:val="000000"/>
          <w:sz w:val="20"/>
        </w:rPr>
        <w:t xml:space="preserve">Протокол</w:t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918"/>
        <w:ind w:left="0" w:firstLine="142"/>
        <w:jc w:val="center"/>
        <w:widowControl w:val="off"/>
        <w:tabs>
          <w:tab w:val="clear" w:pos="0" w:leader="none"/>
        </w:tabs>
      </w:pPr>
      <w:r>
        <w:rPr>
          <w:b w:val="0"/>
          <w:sz w:val="20"/>
        </w:rPr>
        <w:t xml:space="preserve">рассмотрения единственно</w:t>
      </w:r>
      <w:r>
        <w:rPr>
          <w:rFonts w:ascii="PT Astra Serif" w:hAnsi="PT Astra Serif"/>
          <w:b w:val="0"/>
          <w:sz w:val="20"/>
        </w:rPr>
        <w:t xml:space="preserve">го предложения на участие в конкурентном отборе </w:t>
      </w:r>
      <w:bookmarkStart w:id="0" w:name="_Hlk134611436"/>
      <w:r>
        <w:rPr>
          <w:rFonts w:ascii="PT Astra Serif" w:hAnsi="PT Astra Serif"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№ </w:t>
      </w:r>
      <w:bookmarkEnd w:id="0"/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  <w:t xml:space="preserve">0011326022DP</w:t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/>
    </w:p>
    <w:p>
      <w:pPr>
        <w:pStyle w:val="918"/>
        <w:ind w:left="0" w:firstLine="142"/>
        <w:jc w:val="center"/>
        <w:widowControl w:val="off"/>
        <w:tabs>
          <w:tab w:val="clear" w:pos="0" w:leader="none"/>
        </w:tabs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90"/>
        <w:ind w:left="142" w:firstLine="0"/>
        <w:jc w:val="both"/>
        <w:widowControl w:val="off"/>
        <w:rPr>
          <w:sz w:val="20"/>
        </w:rPr>
      </w:pPr>
      <w:r>
        <w:rPr>
          <w:sz w:val="20"/>
        </w:rPr>
        <w:t xml:space="preserve">г. Казань                                                                                                                                                                   «26» августа 2026 года</w:t>
      </w:r>
      <w:r>
        <w:rPr>
          <w:sz w:val="20"/>
        </w:rPr>
      </w:r>
      <w:r>
        <w:rPr>
          <w:sz w:val="20"/>
        </w:rPr>
      </w:r>
    </w:p>
    <w:p>
      <w:pPr>
        <w:pStyle w:val="890"/>
        <w:ind w:left="0" w:firstLine="142"/>
        <w:jc w:val="both"/>
        <w:widowControl w:val="off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sz w:val="20"/>
        </w:rPr>
      </w:pPr>
      <w:r>
        <w:rPr>
          <w:b w:val="0"/>
          <w:sz w:val="20"/>
        </w:rPr>
        <w:t xml:space="preserve">1. Наименование уполномоченного органа: Государственный комитет Республики Татарстан по закупкам.</w:t>
      </w:r>
      <w:r>
        <w:rPr>
          <w:b w:val="0"/>
          <w:sz w:val="20"/>
        </w:rPr>
      </w:r>
      <w:r>
        <w:rPr>
          <w:b w:val="0"/>
          <w:sz w:val="20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sz w:val="20"/>
        </w:rPr>
      </w:pPr>
      <w:r>
        <w:rPr>
          <w:b w:val="0"/>
          <w:sz w:val="20"/>
        </w:rPr>
        <w:t xml:space="preserve">2. Наименование заказчика: Автономная некоммерческая организация «Дирекция спортивных и социальных проектов».</w:t>
      </w:r>
      <w:r>
        <w:rPr>
          <w:b w:val="0"/>
          <w:sz w:val="20"/>
        </w:rPr>
      </w:r>
      <w:r>
        <w:rPr>
          <w:b w:val="0"/>
          <w:sz w:val="20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color w:val="000000"/>
          <w:sz w:val="20"/>
          <w:highlight w:val="white"/>
        </w:rPr>
      </w:pPr>
      <w:r>
        <w:rPr>
          <w:b w:val="0"/>
          <w:sz w:val="20"/>
        </w:rPr>
        <w:t xml:space="preserve">3. Наименование конкурентного отбора: </w:t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Право заключения договора на оказание услуг по предоставлению в аренду элементов временной инфраструктуры на объекте, задействованном в рамках организации V Всероссийских соревнований по стрельбе из лука «Кубок Генерального прокурора Российской Федерации» в</w:t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 г. Казани в 2026 году</w:t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.</w:t>
      </w:r>
      <w:r>
        <w:rPr>
          <w:b w:val="0"/>
          <w:color w:val="000000"/>
          <w:sz w:val="20"/>
          <w:highlight w:val="white"/>
        </w:rPr>
      </w:r>
      <w:r>
        <w:rPr>
          <w:b w:val="0"/>
          <w:color w:val="000000"/>
          <w:sz w:val="20"/>
          <w:highlight w:val="white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rFonts w:ascii="Times New Roman" w:hAnsi="Times New Roman" w:eastAsia="Tahoma" w:cs="Noto Sans Devanagari"/>
          <w:b w:val="0"/>
          <w:bCs w:val="0"/>
          <w:color w:val="000000"/>
          <w:sz w:val="20"/>
          <w:szCs w:val="20"/>
          <w:highlight w:val="none"/>
          <w:lang w:val="ru-RU" w:eastAsia="zh-CN" w:bidi="hi-IN"/>
        </w:rPr>
      </w:pP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4. Начальная (максимальная) цена за единицу: 180 000,00 руб.</w:t>
      </w:r>
      <w:r>
        <w:rPr>
          <w:rFonts w:ascii="Times New Roman" w:hAnsi="Times New Roman" w:eastAsia="Tahoma" w:cs="Noto Sans Devanagari"/>
          <w:b w:val="0"/>
          <w:bCs w:val="0"/>
          <w:color w:val="000000"/>
          <w:sz w:val="20"/>
          <w:szCs w:val="20"/>
          <w:highlight w:val="none"/>
          <w:lang w:val="ru-RU" w:eastAsia="zh-CN" w:bidi="hi-IN"/>
        </w:rPr>
      </w:r>
      <w:r>
        <w:rPr>
          <w:rFonts w:ascii="Times New Roman" w:hAnsi="Times New Roman" w:eastAsia="Tahoma" w:cs="Noto Sans Devanagari"/>
          <w:b w:val="0"/>
          <w:bCs w:val="0"/>
          <w:color w:val="000000"/>
          <w:sz w:val="20"/>
          <w:szCs w:val="20"/>
          <w:highlight w:val="none"/>
          <w:lang w:val="ru-RU" w:eastAsia="zh-CN" w:bidi="hi-IN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rFonts w:ascii="Times New Roman" w:hAnsi="Times New Roman" w:eastAsia="Tahoma" w:cs="Noto Sans Devanagari"/>
          <w:b w:val="0"/>
          <w:bCs w:val="0"/>
          <w:color w:val="000000"/>
          <w:sz w:val="20"/>
          <w:szCs w:val="20"/>
          <w:highlight w:val="none"/>
          <w:lang w:val="ru-RU" w:eastAsia="zh-CN" w:bidi="hi-IN"/>
        </w:rPr>
      </w:pPr>
      <w:r>
        <w:rPr>
          <w:rFonts w:ascii="Times New Roman" w:hAnsi="Times New Roman" w:eastAsia="Tahoma" w:cs="Noto Sans Devanagari"/>
          <w:b w:val="0"/>
          <w:bCs w:val="0"/>
          <w:color w:val="000000"/>
          <w:sz w:val="20"/>
          <w:szCs w:val="20"/>
          <w:highlight w:val="none"/>
          <w:lang w:val="ru-RU" w:eastAsia="zh-CN" w:bidi="hi-IN"/>
        </w:rPr>
        <w:t xml:space="preserve">4.1. Общая цена </w:t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договора: 900 000,00 руб.</w:t>
      </w:r>
      <w:r/>
      <w:r>
        <w:rPr>
          <w:rFonts w:ascii="Times New Roman" w:hAnsi="Times New Roman" w:eastAsia="Tahoma" w:cs="Noto Sans Devanagari"/>
          <w:b w:val="0"/>
          <w:bCs w:val="0"/>
          <w:color w:val="000000"/>
          <w:sz w:val="20"/>
          <w:szCs w:val="20"/>
          <w:highlight w:val="none"/>
          <w:lang w:val="ru-RU" w:eastAsia="zh-CN" w:bidi="hi-IN"/>
        </w:rPr>
      </w:r>
      <w:r>
        <w:rPr>
          <w:rFonts w:ascii="Times New Roman" w:hAnsi="Times New Roman" w:eastAsia="Tahoma" w:cs="Noto Sans Devanagari"/>
          <w:b w:val="0"/>
          <w:bCs w:val="0"/>
          <w:color w:val="000000"/>
          <w:sz w:val="20"/>
          <w:szCs w:val="20"/>
          <w:highlight w:val="none"/>
          <w:lang w:val="ru-RU" w:eastAsia="zh-CN" w:bidi="hi-IN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bCs w:val="0"/>
          <w:sz w:val="20"/>
          <w:szCs w:val="20"/>
          <w:highlight w:val="none"/>
        </w:rPr>
      </w:pP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5. </w:t>
      </w:r>
      <w:r>
        <w:rPr>
          <w:b w:val="0"/>
          <w:sz w:val="20"/>
        </w:rPr>
        <w:t xml:space="preserve">Комиссия правомочна осуществлять свои функции, т.к. на заседании комиссии присутствует не менее чем пятьдесят процентов общего числа ее членов.</w:t>
      </w:r>
      <w:r>
        <w:rPr>
          <w:b w:val="0"/>
          <w:bCs w:val="0"/>
          <w:sz w:val="20"/>
          <w:szCs w:val="20"/>
          <w:highlight w:val="none"/>
        </w:rPr>
      </w:r>
      <w:r>
        <w:rPr>
          <w:b w:val="0"/>
          <w:bCs w:val="0"/>
          <w:sz w:val="20"/>
          <w:szCs w:val="20"/>
          <w:highlight w:val="none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sz w:val="20"/>
        </w:rPr>
      </w:pPr>
      <w:r>
        <w:rPr>
          <w:b w:val="0"/>
          <w:sz w:val="20"/>
        </w:rPr>
        <w:t xml:space="preserve">6. Процедура рассмотрения</w:t>
      </w:r>
      <w:r>
        <w:rPr>
          <w:b w:val="0"/>
          <w:sz w:val="20"/>
        </w:rPr>
        <w:t xml:space="preserve"> единственного предложения на участие в конкурентном отборе проводилась комиссией в период с 09 часов 00 минут </w:t>
      </w:r>
      <w:r>
        <w:rPr>
          <w:b w:val="0"/>
          <w:sz w:val="20"/>
        </w:rPr>
        <w:t xml:space="preserve">«25» августа 2026 года</w:t>
      </w:r>
      <w:r>
        <w:rPr>
          <w:b w:val="0"/>
          <w:sz w:val="20"/>
        </w:rPr>
        <w:t xml:space="preserve"> </w:t>
      </w:r>
      <w:r>
        <w:rPr>
          <w:b w:val="0"/>
          <w:sz w:val="20"/>
        </w:rPr>
        <w:t xml:space="preserve">до 14 часов 00 минут </w:t>
      </w:r>
      <w:r>
        <w:rPr>
          <w:b w:val="0"/>
          <w:sz w:val="20"/>
        </w:rPr>
        <w:t xml:space="preserve">«26» августа 2026 года по адресу: Электронная Торговая Cистема Etpzakupki.tatar http://etpzakupki.tatar.</w:t>
      </w:r>
      <w:r>
        <w:rPr>
          <w:b w:val="0"/>
          <w:sz w:val="20"/>
        </w:rPr>
      </w:r>
      <w:r>
        <w:rPr>
          <w:b w:val="0"/>
          <w:sz w:val="20"/>
        </w:rPr>
      </w:r>
    </w:p>
    <w:p>
      <w:pPr>
        <w:pStyle w:val="918"/>
        <w:ind w:left="0" w:firstLine="142"/>
        <w:jc w:val="both"/>
        <w:tabs>
          <w:tab w:val="clear" w:pos="0" w:leader="none"/>
        </w:tabs>
        <w:rPr>
          <w:b w:val="0"/>
          <w:sz w:val="20"/>
        </w:rPr>
      </w:pPr>
      <w:r>
        <w:rPr>
          <w:b w:val="0"/>
          <w:sz w:val="20"/>
        </w:rPr>
        <w:t xml:space="preserve">7. Комиссия уполномоченного органа рассмотрела единственн</w:t>
      </w:r>
      <w:r>
        <w:rPr>
          <w:b w:val="0"/>
          <w:sz w:val="20"/>
        </w:rPr>
        <w:t xml:space="preserve">ое предложение на участие в конкурентном отборе на соответствие требованиям и условиям, установленным в извещении и документации конкурентного отбора, и приняла решение допустить к участию и признать участником конкурентного отбора единственного участника:</w:t>
      </w:r>
      <w:r>
        <w:rPr>
          <w:b w:val="0"/>
          <w:sz w:val="20"/>
        </w:rPr>
      </w:r>
      <w:r>
        <w:rPr>
          <w:b w:val="0"/>
          <w:sz w:val="20"/>
        </w:rPr>
      </w:r>
    </w:p>
    <w:tbl>
      <w:tblPr>
        <w:tblStyle w:val="1060"/>
        <w:tblW w:w="11108" w:type="dxa"/>
        <w:tblInd w:w="109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34"/>
        <w:gridCol w:w="4696"/>
        <w:gridCol w:w="5578"/>
      </w:tblGrid>
      <w:tr>
        <w:tblPrEx/>
        <w:trPr>
          <w:trHeight w:val="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0"/>
              </w:numPr>
              <w:ind w:left="0" w:firstLine="142"/>
              <w:jc w:val="center"/>
              <w:spacing w:before="0" w:after="0"/>
              <w:widowControl w:val="off"/>
              <w:rPr>
                <w:color w:val="000000"/>
                <w:sz w:val="20"/>
              </w:rPr>
              <w:outlineLvl w:val="0"/>
            </w:pPr>
            <w:r>
              <w:rPr>
                <w:color w:val="000000"/>
                <w:sz w:val="20"/>
                <w:szCs w:val="20"/>
              </w:rPr>
              <w:t xml:space="preserve">№</w:t>
            </w:r>
            <w:r>
              <w:rPr>
                <w:color w:val="000000"/>
                <w:sz w:val="20"/>
                <w:szCs w:val="20"/>
              </w:rPr>
              <w:t xml:space="preserve">п/п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96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0"/>
              </w:numPr>
              <w:ind w:left="0" w:firstLine="142"/>
              <w:jc w:val="center"/>
              <w:spacing w:before="0" w:after="0"/>
              <w:widowControl w:val="off"/>
              <w:rPr>
                <w:color w:val="000000"/>
                <w:sz w:val="20"/>
              </w:rPr>
              <w:outlineLvl w:val="0"/>
            </w:pPr>
            <w:r>
              <w:rPr>
                <w:color w:val="000000"/>
                <w:sz w:val="20"/>
                <w:szCs w:val="20"/>
              </w:rPr>
              <w:t xml:space="preserve">Номер заявки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78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0"/>
              </w:numPr>
              <w:ind w:left="0" w:firstLine="142"/>
              <w:jc w:val="center"/>
              <w:spacing w:before="0" w:after="0"/>
              <w:widowControl w:val="off"/>
              <w:rPr>
                <w:color w:val="000000"/>
                <w:sz w:val="20"/>
              </w:rPr>
              <w:outlineLvl w:val="0"/>
            </w:pPr>
            <w:r>
              <w:rPr>
                <w:color w:val="000000"/>
                <w:sz w:val="20"/>
                <w:szCs w:val="20"/>
              </w:rPr>
              <w:t xml:space="preserve">Наименование участника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" w:type="dxa"/>
            <w:vAlign w:val="center"/>
            <w:textDirection w:val="lrTb"/>
            <w:noWrap w:val="false"/>
          </w:tcPr>
          <w:p>
            <w:pPr>
              <w:pStyle w:val="918"/>
              <w:ind w:left="0" w:firstLine="142"/>
              <w:jc w:val="center"/>
              <w:widowControl w:val="off"/>
              <w:tabs>
                <w:tab w:val="clear" w:pos="0" w:leader="none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  <w:szCs w:val="20"/>
              </w:rPr>
              <w:t xml:space="preserve">1</w: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96" w:type="dxa"/>
            <w:vAlign w:val="center"/>
            <w:textDirection w:val="lrTb"/>
            <w:noWrap w:val="false"/>
          </w:tcPr>
          <w:p>
            <w:pPr>
              <w:pStyle w:val="918"/>
              <w:ind w:left="0" w:firstLine="142"/>
              <w:jc w:val="center"/>
              <w:widowControl w:val="off"/>
              <w:tabs>
                <w:tab w:val="left" w:pos="0" w:leader="none"/>
                <w:tab w:val="left" w:pos="708" w:leader="none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  <w:szCs w:val="20"/>
              </w:rPr>
              <w:t xml:space="preserve">16011</w: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78" w:type="dxa"/>
            <w:vAlign w:val="center"/>
            <w:textDirection w:val="lrTb"/>
            <w:noWrap w:val="false"/>
          </w:tcPr>
          <w:p>
            <w:pPr>
              <w:pStyle w:val="918"/>
              <w:ind w:left="0" w:firstLine="142"/>
              <w:jc w:val="center"/>
              <w:widowControl w:val="off"/>
              <w:tabs>
                <w:tab w:val="clear" w:pos="0" w:leader="none"/>
                <w:tab w:val="left" w:pos="708" w:leader="none"/>
              </w:tabs>
              <w:rPr>
                <w:rFonts w:ascii="Times New Roman" w:hAnsi="Times New Roman"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  <w:t xml:space="preserve">ООО «Транс-групп»</w:t>
            </w:r>
            <w:r>
              <w:rPr>
                <w:rFonts w:ascii="Times New Roman" w:hAnsi="Times New Roman"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</w:r>
          </w:p>
        </w:tc>
      </w:tr>
    </w:tbl>
    <w:p>
      <w:pPr>
        <w:pStyle w:val="784"/>
        <w:ind w:left="0" w:firstLine="142"/>
        <w:jc w:val="both"/>
        <w:widowControl w:val="off"/>
        <w:rPr>
          <w:sz w:val="20"/>
        </w:rPr>
      </w:pPr>
      <w:r>
        <w:rPr>
          <w:sz w:val="20"/>
        </w:rPr>
        <w:t xml:space="preserve">8. 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В связи с тем, что к участию в конкурентном отборе допущен и признан участником конкурентного отбора единственный участник — 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ООО «Транс-групп»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, заключить договор с единственным участником конкурентного отбора </w:t>
        <w:br/>
        <w:t xml:space="preserve">№ 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  <w:t xml:space="preserve">0011326022DP</w:t>
      </w:r>
      <w:r/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 — 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ascii="Times New Roman" w:hAnsi="Times New Roman"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ООО «Транс-групп»</w:t>
      </w:r>
      <w:r/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 с предложением о цене 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180 000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,00 руб.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0" w:firstLine="142"/>
        <w:jc w:val="both"/>
        <w:widowControl w:val="off"/>
        <w:rPr>
          <w:sz w:val="20"/>
        </w:rPr>
      </w:pPr>
      <w:r>
        <w:rPr>
          <w:sz w:val="20"/>
        </w:rPr>
        <w:t xml:space="preserve">9. Настоящий протокол подлежит размещению на электронной торговой площадке etpzakupki.tatar.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0" w:firstLine="142"/>
        <w:jc w:val="both"/>
        <w:rPr>
          <w:sz w:val="20"/>
        </w:rPr>
      </w:pPr>
      <w:r>
        <w:rPr>
          <w:sz w:val="20"/>
        </w:rPr>
        <w:t xml:space="preserve">10. Подписи:</w:t>
      </w:r>
      <w:r>
        <w:rPr>
          <w:sz w:val="20"/>
        </w:rPr>
      </w:r>
      <w:r>
        <w:rPr>
          <w:sz w:val="20"/>
        </w:rPr>
      </w:r>
    </w:p>
    <w:tbl>
      <w:tblPr>
        <w:tblStyle w:val="1060"/>
        <w:tblpPr w:horzAnchor="text" w:tblpXSpec="left" w:vertAnchor="text" w:tblpY="1" w:leftFromText="180" w:topFromText="0" w:rightFromText="180" w:bottomFromText="0"/>
        <w:tblW w:w="1089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951"/>
        <w:gridCol w:w="6669"/>
        <w:gridCol w:w="2270"/>
      </w:tblGrid>
      <w:tr>
        <w:tblPrEx/>
        <w:trPr>
          <w:trHeight w:val="707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Председатель комиссии: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Заместитель председателя Государственного комитета Республики Татарстан по закупкам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М.С. Алмазова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740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Члены комиссии: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Ведущий специалист отдела методологического сопровождения закупок Государственного комитета Республики Татарстан по закупкам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Э.Р. Гаязова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Функциональный менеджер финансового управления АНО «Дирекция спортивных и социальных проектов»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Р.Г. Чакалова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vMerge w:val="restart"/>
            <w:textDirection w:val="lrTb"/>
            <w:noWrap w:val="false"/>
          </w:tcPr>
          <w:p>
            <w:pPr>
              <w:pStyle w:val="784"/>
              <w:widowControl w:val="off"/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</w:tc>
        <w:tc>
          <w:tcPr>
            <w:tcW w:w="6669" w:type="dxa"/>
            <w:vMerge w:val="restart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  <w:szCs w:val="16"/>
                <w:highlight w:val="none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Функциональный</w:t>
            </w:r>
            <w:r>
              <w:rPr>
                <w:sz w:val="16"/>
                <w:szCs w:val="16"/>
              </w:rPr>
              <w:t xml:space="preserve"> менеджер</w:t>
            </w:r>
            <w:r>
              <w:rPr>
                <w:sz w:val="16"/>
                <w:szCs w:val="16"/>
              </w:rPr>
              <w:t xml:space="preserve"> финансового управления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АНО «Дирекция спортивных и социальных проектов»</w:t>
            </w: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</w:r>
          </w:p>
          <w:p>
            <w:pPr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  <w:highlight w:val="none"/>
              </w:rPr>
              <w:t xml:space="preserve">А.В. </w:t>
            </w:r>
            <w:r>
              <w:rPr>
                <w:sz w:val="16"/>
                <w:szCs w:val="16"/>
                <w:highlight w:val="none"/>
              </w:rPr>
              <w:t xml:space="preserve">Карамова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2270" w:type="dxa"/>
            <w:vAlign w:val="bottom"/>
            <w:vMerge w:val="restart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  <w:t xml:space="preserve">Ведущий специалист Государственного комитета Республики Татарстан по закупкам</w:t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  <w:p>
            <w:pPr>
              <w:pStyle w:val="784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  <w:t xml:space="preserve">А.И. Гайнуллин</w:t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  <w:p>
            <w:pPr>
              <w:pStyle w:val="784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  <w:t xml:space="preserve">С пунктами 7, 8 согласен</w:t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  <w:t xml:space="preserve">(подпись)</w:t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Секретарь комиссии: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Заместитель начальника отдела анализа и обеспечения централизованных закупок Государственного комитета Республики Татарстан по закупкам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Р.Р. Мухамедзянова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</w:tbl>
    <w:p>
      <w:pPr>
        <w:pStyle w:val="784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sectPr>
      <w:footerReference w:type="default" r:id="rId9"/>
      <w:footerReference w:type="even" r:id="rId10"/>
      <w:footerReference w:type="first" r:id="rId11"/>
      <w:footnotePr/>
      <w:endnotePr/>
      <w:type w:val="nextPage"/>
      <w:pgSz w:w="11906" w:h="16838" w:orient="portrait"/>
      <w:pgMar w:top="567" w:right="360" w:bottom="395" w:left="360" w:header="0" w:footer="131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DL">
    <w:panose1 w:val="02000603000000000000"/>
  </w:font>
  <w:font w:name="XO Thames">
    <w:panose1 w:val="02020603050405020304"/>
  </w:font>
  <w:font w:name="PT Astra Serif">
    <w:panose1 w:val="020A0603040505020204"/>
  </w:font>
  <w:font w:name="Arial">
    <w:panose1 w:val="020B0604020202020204"/>
  </w:font>
  <w:font w:name="Arial Unicode MS">
    <w:panose1 w:val="020B0606020202030204"/>
  </w:font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2"/>
      <w:ind w:left="0" w:right="360" w:firstLine="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128270</wp:posOffset>
              </wp:positionV>
              <wp:extent cx="14605" cy="160655"/>
              <wp:effectExtent l="0" t="0" r="0" b="0"/>
              <wp:wrapSquare wrapText="bothSides"/>
              <wp:docPr id="1" name="Pictur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60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90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4;o:allowoverlap:true;o:allowincell:false;mso-position-horizontal-relative:margin;mso-position-horizontal:right;mso-position-vertical-relative:text;margin-top:10.10pt;mso-position-vertical:absolute;width:1.15pt;height:12.6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0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2"/>
      <w:ind w:left="0" w:right="360" w:firstLine="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902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2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02"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 xml:space="preserve">0</w:t>
                    </w:r>
                    <w:r>
                      <w:rPr>
                        <w:color w:val="000000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6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60655"/>
              <wp:effectExtent l="0" t="0" r="0" b="0"/>
              <wp:wrapSquare wrapText="bothSides"/>
              <wp:docPr id="3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60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90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6;o:allowoverlap:true;o:allowincell:false;mso-position-horizontal-relative:margin;mso-position-horizontal:right;mso-position-vertical-relative:text;margin-top:0.05pt;mso-position-vertical:absolute;width:1.15pt;height:12.6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0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2"/>
      <w:ind w:left="0" w:right="360" w:firstLine="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128270</wp:posOffset>
              </wp:positionV>
              <wp:extent cx="14605" cy="160655"/>
              <wp:effectExtent l="0" t="0" r="0" b="0"/>
              <wp:wrapSquare wrapText="bothSides"/>
              <wp:docPr id="4" name="Pictur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60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90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3" o:spt="1" type="#_x0000_t1" style="position:absolute;z-index:4;o:allowoverlap:true;o:allowincell:false;mso-position-horizontal-relative:margin;mso-position-horizontal:right;mso-position-vertical-relative:text;margin-top:10.10pt;mso-position-vertical:absolute;width:1.15pt;height:12.6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0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12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26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98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70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42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14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86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58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300" w:hanging="18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Noto Sans Devanagari"/>
        <w:color w:val="000000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84" w:default="1">
    <w:name w:val="Normal"/>
    <w:uiPriority w:val="0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000000"/>
      <w:sz w:val="24"/>
      <w:szCs w:val="20"/>
      <w:lang w:val="ru-RU" w:eastAsia="zh-CN" w:bidi="hi-IN"/>
    </w:rPr>
  </w:style>
  <w:style w:type="paragraph" w:styleId="785">
    <w:name w:val="Heading 1"/>
    <w:basedOn w:val="784"/>
    <w:uiPriority w:val="9"/>
    <w:qFormat/>
    <w:pPr>
      <w:spacing w:beforeAutospacing="1" w:afterAutospacing="1"/>
      <w:outlineLvl w:val="0"/>
    </w:pPr>
    <w:rPr>
      <w:rFonts w:ascii="Arial Unicode MS" w:hAnsi="Arial Unicode MS"/>
      <w:b/>
      <w:color w:val="000000"/>
      <w:sz w:val="48"/>
    </w:rPr>
  </w:style>
  <w:style w:type="paragraph" w:styleId="786">
    <w:name w:val="Heading 2"/>
    <w:next w:val="784"/>
    <w:uiPriority w:val="9"/>
    <w:qFormat/>
    <w:pPr>
      <w:jc w:val="both"/>
      <w:spacing w:before="120" w:after="120"/>
      <w:widowControl/>
      <w:outlineLvl w:val="1"/>
    </w:pPr>
    <w:rPr>
      <w:rFonts w:ascii="XO Thames" w:hAnsi="XO Thames" w:eastAsia="Tahoma" w:cs="Noto Sans Devanagari"/>
      <w:b/>
      <w:color w:val="000000"/>
      <w:sz w:val="28"/>
      <w:szCs w:val="20"/>
      <w:lang w:val="ru-RU" w:eastAsia="zh-CN" w:bidi="hi-IN"/>
    </w:rPr>
  </w:style>
  <w:style w:type="paragraph" w:styleId="787">
    <w:name w:val="Heading 3"/>
    <w:next w:val="784"/>
    <w:uiPriority w:val="9"/>
    <w:qFormat/>
    <w:pPr>
      <w:jc w:val="both"/>
      <w:spacing w:before="120" w:after="120"/>
      <w:widowControl/>
      <w:outlineLvl w:val="2"/>
    </w:pPr>
    <w:rPr>
      <w:rFonts w:ascii="XO Thames" w:hAnsi="XO Thames" w:eastAsia="Tahoma" w:cs="Noto Sans Devanagari"/>
      <w:b/>
      <w:color w:val="000000"/>
      <w:sz w:val="26"/>
      <w:szCs w:val="20"/>
      <w:lang w:val="ru-RU" w:eastAsia="zh-CN" w:bidi="hi-IN"/>
    </w:rPr>
  </w:style>
  <w:style w:type="paragraph" w:styleId="788">
    <w:name w:val="Heading 4"/>
    <w:next w:val="784"/>
    <w:uiPriority w:val="9"/>
    <w:qFormat/>
    <w:pPr>
      <w:jc w:val="both"/>
      <w:spacing w:before="120" w:after="120"/>
      <w:widowControl/>
      <w:outlineLvl w:val="3"/>
    </w:pPr>
    <w:rPr>
      <w:rFonts w:ascii="XO Thames" w:hAnsi="XO Thames" w:eastAsia="Tahoma" w:cs="Noto Sans Devanagari"/>
      <w:b/>
      <w:color w:val="000000"/>
      <w:sz w:val="24"/>
      <w:szCs w:val="20"/>
      <w:lang w:val="ru-RU" w:eastAsia="zh-CN" w:bidi="hi-IN"/>
    </w:rPr>
  </w:style>
  <w:style w:type="paragraph" w:styleId="789">
    <w:name w:val="Heading 5"/>
    <w:next w:val="784"/>
    <w:uiPriority w:val="9"/>
    <w:qFormat/>
    <w:pPr>
      <w:jc w:val="both"/>
      <w:spacing w:before="120" w:after="120"/>
      <w:widowControl/>
      <w:outlineLvl w:val="4"/>
    </w:pPr>
    <w:rPr>
      <w:rFonts w:ascii="XO Thames" w:hAnsi="XO Thames" w:eastAsia="Tahoma" w:cs="Noto Sans Devanagari"/>
      <w:b/>
      <w:color w:val="000000"/>
      <w:sz w:val="22"/>
      <w:szCs w:val="20"/>
      <w:lang w:val="ru-RU" w:eastAsia="zh-CN" w:bidi="hi-IN"/>
    </w:rPr>
  </w:style>
  <w:style w:type="paragraph" w:styleId="790">
    <w:name w:val="Heading 6"/>
    <w:basedOn w:val="784"/>
    <w:next w:val="784"/>
    <w:link w:val="79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91">
    <w:name w:val="Heading 7"/>
    <w:basedOn w:val="784"/>
    <w:next w:val="784"/>
    <w:link w:val="8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92">
    <w:name w:val="Heading 8"/>
    <w:basedOn w:val="784"/>
    <w:next w:val="784"/>
    <w:link w:val="8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93">
    <w:name w:val="Heading 9"/>
    <w:basedOn w:val="784"/>
    <w:next w:val="784"/>
    <w:link w:val="80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4">
    <w:name w:val="Heading 1 Char"/>
    <w:basedOn w:val="863"/>
    <w:uiPriority w:val="9"/>
    <w:qFormat/>
    <w:rPr>
      <w:rFonts w:ascii="Arial" w:hAnsi="Arial" w:eastAsia="Arial" w:cs="Arial"/>
      <w:sz w:val="40"/>
      <w:szCs w:val="40"/>
    </w:rPr>
  </w:style>
  <w:style w:type="character" w:styleId="795">
    <w:name w:val="Heading 2 Char"/>
    <w:basedOn w:val="863"/>
    <w:uiPriority w:val="9"/>
    <w:qFormat/>
    <w:rPr>
      <w:rFonts w:ascii="Arial" w:hAnsi="Arial" w:eastAsia="Arial" w:cs="Arial"/>
      <w:sz w:val="34"/>
    </w:rPr>
  </w:style>
  <w:style w:type="character" w:styleId="796">
    <w:name w:val="Heading 3 Char"/>
    <w:basedOn w:val="863"/>
    <w:uiPriority w:val="9"/>
    <w:qFormat/>
    <w:rPr>
      <w:rFonts w:ascii="Arial" w:hAnsi="Arial" w:eastAsia="Arial" w:cs="Arial"/>
      <w:sz w:val="30"/>
      <w:szCs w:val="30"/>
    </w:rPr>
  </w:style>
  <w:style w:type="character" w:styleId="797">
    <w:name w:val="Heading 4 Char"/>
    <w:basedOn w:val="863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98">
    <w:name w:val="Heading 5 Char"/>
    <w:basedOn w:val="863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99">
    <w:name w:val="Heading 6 Char"/>
    <w:basedOn w:val="863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00">
    <w:name w:val="Heading 7 Char"/>
    <w:basedOn w:val="863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01">
    <w:name w:val="Heading 8 Char"/>
    <w:basedOn w:val="863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02">
    <w:name w:val="Heading 9 Char"/>
    <w:basedOn w:val="863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03">
    <w:name w:val="Title Char"/>
    <w:basedOn w:val="863"/>
    <w:uiPriority w:val="10"/>
    <w:qFormat/>
    <w:rPr>
      <w:sz w:val="48"/>
      <w:szCs w:val="48"/>
    </w:rPr>
  </w:style>
  <w:style w:type="character" w:styleId="804">
    <w:name w:val="Subtitle Char"/>
    <w:basedOn w:val="863"/>
    <w:uiPriority w:val="11"/>
    <w:qFormat/>
    <w:rPr>
      <w:sz w:val="24"/>
      <w:szCs w:val="24"/>
    </w:rPr>
  </w:style>
  <w:style w:type="character" w:styleId="805">
    <w:name w:val="Quote Char"/>
    <w:link w:val="881"/>
    <w:uiPriority w:val="29"/>
    <w:qFormat/>
    <w:rPr>
      <w:i/>
    </w:rPr>
  </w:style>
  <w:style w:type="character" w:styleId="806">
    <w:name w:val="Intense Quote Char"/>
    <w:link w:val="882"/>
    <w:uiPriority w:val="30"/>
    <w:qFormat/>
    <w:rPr>
      <w:i/>
    </w:rPr>
  </w:style>
  <w:style w:type="character" w:styleId="807">
    <w:name w:val="Header Char"/>
    <w:basedOn w:val="863"/>
    <w:uiPriority w:val="99"/>
    <w:qFormat/>
  </w:style>
  <w:style w:type="character" w:styleId="808">
    <w:name w:val="Footer Char"/>
    <w:basedOn w:val="863"/>
    <w:uiPriority w:val="99"/>
    <w:qFormat/>
  </w:style>
  <w:style w:type="character" w:styleId="809">
    <w:name w:val="Caption Char"/>
    <w:basedOn w:val="823"/>
    <w:uiPriority w:val="99"/>
    <w:qFormat/>
  </w:style>
  <w:style w:type="character" w:styleId="810">
    <w:name w:val="Footnote Text Char"/>
    <w:link w:val="914"/>
    <w:uiPriority w:val="99"/>
    <w:qFormat/>
    <w:rPr>
      <w:sz w:val="18"/>
    </w:rPr>
  </w:style>
  <w:style w:type="character" w:styleId="811">
    <w:name w:val="Символ сноски"/>
    <w:basedOn w:val="863"/>
    <w:uiPriority w:val="99"/>
    <w:unhideWhenUsed/>
    <w:qFormat/>
    <w:rPr>
      <w:vertAlign w:val="superscript"/>
    </w:rPr>
  </w:style>
  <w:style w:type="character" w:styleId="812">
    <w:name w:val="footnote reference"/>
    <w:rPr>
      <w:vertAlign w:val="superscript"/>
    </w:rPr>
  </w:style>
  <w:style w:type="character" w:styleId="813">
    <w:name w:val="Endnote Text Char"/>
    <w:link w:val="900"/>
    <w:uiPriority w:val="99"/>
    <w:qFormat/>
    <w:rPr>
      <w:sz w:val="20"/>
    </w:rPr>
  </w:style>
  <w:style w:type="character" w:styleId="814">
    <w:name w:val="Символ концевой сноски"/>
    <w:basedOn w:val="863"/>
    <w:uiPriority w:val="99"/>
    <w:semiHidden/>
    <w:unhideWhenUsed/>
    <w:qFormat/>
    <w:rPr>
      <w:vertAlign w:val="superscript"/>
    </w:rPr>
  </w:style>
  <w:style w:type="character" w:styleId="815">
    <w:name w:val="endnote reference"/>
    <w:rPr>
      <w:vertAlign w:val="superscript"/>
    </w:rPr>
  </w:style>
  <w:style w:type="character" w:styleId="816">
    <w:name w:val="Contents 2"/>
    <w:qFormat/>
    <w:rPr>
      <w:rFonts w:ascii="XO Thames" w:hAnsi="XO Thames"/>
      <w:sz w:val="28"/>
    </w:rPr>
  </w:style>
  <w:style w:type="character" w:styleId="817">
    <w:name w:val="Contents 4"/>
    <w:qFormat/>
    <w:rPr>
      <w:rFonts w:ascii="XO Thames" w:hAnsi="XO Thames"/>
      <w:sz w:val="28"/>
    </w:rPr>
  </w:style>
  <w:style w:type="character" w:styleId="818">
    <w:name w:val="Body Text 2"/>
    <w:link w:val="890"/>
    <w:qFormat/>
    <w:rPr>
      <w:sz w:val="26"/>
    </w:rPr>
  </w:style>
  <w:style w:type="character" w:styleId="819">
    <w:name w:val="Contents 6"/>
    <w:qFormat/>
    <w:rPr>
      <w:rFonts w:ascii="XO Thames" w:hAnsi="XO Thames"/>
      <w:sz w:val="28"/>
    </w:rPr>
  </w:style>
  <w:style w:type="character" w:styleId="820">
    <w:name w:val="Contents 7"/>
    <w:qFormat/>
    <w:rPr>
      <w:rFonts w:ascii="XO Thames" w:hAnsi="XO Thames"/>
      <w:sz w:val="28"/>
    </w:rPr>
  </w:style>
  <w:style w:type="character" w:styleId="821">
    <w:name w:val="Header1"/>
    <w:qFormat/>
  </w:style>
  <w:style w:type="character" w:styleId="822">
    <w:name w:val="page number"/>
    <w:basedOn w:val="863"/>
    <w:link w:val="899"/>
    <w:qFormat/>
  </w:style>
  <w:style w:type="character" w:styleId="823">
    <w:name w:val="Caption1"/>
    <w:qFormat/>
    <w:rPr>
      <w:rFonts w:ascii="PT Astra Serif" w:hAnsi="PT Astra Serif"/>
      <w:i/>
      <w:sz w:val="24"/>
    </w:rPr>
  </w:style>
  <w:style w:type="character" w:styleId="824">
    <w:name w:val="Endnote"/>
    <w:link w:val="900"/>
    <w:qFormat/>
    <w:rPr>
      <w:rFonts w:ascii="XO Thames" w:hAnsi="XO Thames"/>
      <w:sz w:val="22"/>
    </w:rPr>
  </w:style>
  <w:style w:type="character" w:styleId="825">
    <w:name w:val="Heading 31"/>
    <w:qFormat/>
    <w:rPr>
      <w:rFonts w:ascii="XO Thames" w:hAnsi="XO Thames"/>
      <w:b/>
      <w:sz w:val="26"/>
    </w:rPr>
  </w:style>
  <w:style w:type="character" w:styleId="826">
    <w:name w:val="Text body indent"/>
    <w:qFormat/>
    <w:rPr>
      <w:color w:val="000000"/>
    </w:rPr>
  </w:style>
  <w:style w:type="character" w:styleId="827">
    <w:name w:val="Footer1"/>
    <w:qFormat/>
  </w:style>
  <w:style w:type="character" w:styleId="828">
    <w:name w:val="Указатель"/>
    <w:link w:val="879"/>
    <w:qFormat/>
    <w:rPr>
      <w:rFonts w:ascii="PT Astra Serif" w:hAnsi="PT Astra Serif"/>
    </w:rPr>
  </w:style>
  <w:style w:type="character" w:styleId="829">
    <w:name w:val="Unresolved Mention"/>
    <w:basedOn w:val="863"/>
    <w:link w:val="903"/>
    <w:qFormat/>
    <w:rPr>
      <w:color w:val="605e5c"/>
      <w:shd w:val="clear" w:color="auto" w:fill="e1dfdd"/>
    </w:rPr>
  </w:style>
  <w:style w:type="character" w:styleId="830">
    <w:name w:val="Подраздел"/>
    <w:link w:val="904"/>
    <w:qFormat/>
    <w:rPr>
      <w:rFonts w:ascii="TimesDL" w:hAnsi="TimesDL"/>
      <w:b/>
      <w:smallCaps/>
      <w:spacing w:val="-2"/>
    </w:rPr>
  </w:style>
  <w:style w:type="character" w:styleId="831">
    <w:name w:val="xl22"/>
    <w:link w:val="905"/>
    <w:qFormat/>
    <w:rPr>
      <w:rFonts w:ascii="Arial Unicode MS" w:hAnsi="Arial Unicode MS"/>
      <w:b/>
    </w:rPr>
  </w:style>
  <w:style w:type="character" w:styleId="832">
    <w:name w:val="Знак"/>
    <w:link w:val="906"/>
    <w:qFormat/>
  </w:style>
  <w:style w:type="character" w:styleId="833">
    <w:name w:val="Default"/>
    <w:link w:val="907"/>
    <w:qFormat/>
    <w:rPr>
      <w:rFonts w:ascii="Times New Roman" w:hAnsi="Times New Roman"/>
      <w:color w:val="000000"/>
      <w:sz w:val="24"/>
    </w:rPr>
  </w:style>
  <w:style w:type="character" w:styleId="834">
    <w:name w:val="Стиль1"/>
    <w:link w:val="999"/>
    <w:qFormat/>
    <w:rPr>
      <w:sz w:val="28"/>
    </w:rPr>
  </w:style>
  <w:style w:type="character" w:styleId="835">
    <w:name w:val="ConsPlusNormal"/>
    <w:link w:val="908"/>
    <w:qFormat/>
    <w:rPr>
      <w:rFonts w:ascii="Arial" w:hAnsi="Arial"/>
      <w:color w:val="000000"/>
      <w:sz w:val="20"/>
    </w:rPr>
  </w:style>
  <w:style w:type="character" w:styleId="836">
    <w:name w:val="Contents 3"/>
    <w:qFormat/>
    <w:rPr>
      <w:rFonts w:ascii="XO Thames" w:hAnsi="XO Thames"/>
      <w:sz w:val="28"/>
    </w:rPr>
  </w:style>
  <w:style w:type="character" w:styleId="837">
    <w:name w:val="Основной текст с отступом Знак"/>
    <w:basedOn w:val="863"/>
    <w:link w:val="910"/>
    <w:qFormat/>
    <w:rPr>
      <w:color w:val="000000"/>
      <w:sz w:val="24"/>
    </w:rPr>
  </w:style>
  <w:style w:type="character" w:styleId="838">
    <w:name w:val="Body Text Indent 2"/>
    <w:link w:val="911"/>
    <w:qFormat/>
    <w:rPr>
      <w:sz w:val="28"/>
    </w:rPr>
  </w:style>
  <w:style w:type="character" w:styleId="839">
    <w:name w:val="List1"/>
    <w:basedOn w:val="866"/>
    <w:qFormat/>
    <w:rPr>
      <w:rFonts w:ascii="PT Astra Serif" w:hAnsi="PT Astra Serif"/>
    </w:rPr>
  </w:style>
  <w:style w:type="character" w:styleId="840">
    <w:name w:val="List Number 2"/>
    <w:link w:val="912"/>
    <w:qFormat/>
  </w:style>
  <w:style w:type="character" w:styleId="841">
    <w:name w:val="Заголовок"/>
    <w:link w:val="878"/>
    <w:qFormat/>
    <w:rPr>
      <w:rFonts w:ascii="PT Astra Serif" w:hAnsi="PT Astra Serif"/>
      <w:sz w:val="28"/>
    </w:rPr>
  </w:style>
  <w:style w:type="character" w:styleId="842">
    <w:name w:val="Heading 51"/>
    <w:qFormat/>
    <w:rPr>
      <w:rFonts w:ascii="XO Thames" w:hAnsi="XO Thames"/>
      <w:b/>
      <w:sz w:val="22"/>
    </w:rPr>
  </w:style>
  <w:style w:type="character" w:styleId="843">
    <w:name w:val="Heading 11"/>
    <w:qFormat/>
    <w:rPr>
      <w:rFonts w:ascii="Arial Unicode MS" w:hAnsi="Arial Unicode MS"/>
      <w:b/>
      <w:color w:val="000000"/>
      <w:sz w:val="48"/>
    </w:rPr>
  </w:style>
  <w:style w:type="character" w:styleId="844">
    <w:name w:val="Hyperlink"/>
    <w:basedOn w:val="863"/>
    <w:rPr>
      <w:color w:val="0000ff"/>
      <w:u w:val="single"/>
    </w:rPr>
  </w:style>
  <w:style w:type="character" w:styleId="845">
    <w:name w:val="Footnote"/>
    <w:link w:val="914"/>
    <w:qFormat/>
    <w:rPr>
      <w:rFonts w:ascii="XO Thames" w:hAnsi="XO Thames"/>
      <w:sz w:val="22"/>
    </w:rPr>
  </w:style>
  <w:style w:type="character" w:styleId="846">
    <w:name w:val="Contents 1"/>
    <w:qFormat/>
    <w:rPr>
      <w:rFonts w:ascii="XO Thames" w:hAnsi="XO Thames"/>
      <w:b/>
      <w:sz w:val="28"/>
    </w:rPr>
  </w:style>
  <w:style w:type="character" w:styleId="847">
    <w:name w:val="Содержимое врезки"/>
    <w:link w:val="916"/>
    <w:qFormat/>
  </w:style>
  <w:style w:type="character" w:styleId="848">
    <w:name w:val="Header and Footer"/>
    <w:qFormat/>
    <w:rPr>
      <w:rFonts w:ascii="XO Thames" w:hAnsi="XO Thames"/>
      <w:sz w:val="28"/>
    </w:rPr>
  </w:style>
  <w:style w:type="character" w:styleId="849">
    <w:name w:val="Contents 9"/>
    <w:qFormat/>
    <w:rPr>
      <w:rFonts w:ascii="XO Thames" w:hAnsi="XO Thames"/>
      <w:sz w:val="28"/>
    </w:rPr>
  </w:style>
  <w:style w:type="character" w:styleId="850">
    <w:name w:val="Body Text Indent 3"/>
    <w:link w:val="918"/>
    <w:qFormat/>
    <w:rPr>
      <w:b/>
      <w:sz w:val="26"/>
    </w:rPr>
  </w:style>
  <w:style w:type="character" w:styleId="851">
    <w:name w:val="Заголовок Знак"/>
    <w:basedOn w:val="863"/>
    <w:link w:val="919"/>
    <w:qFormat/>
    <w:rPr>
      <w:color w:val="000000"/>
      <w:sz w:val="24"/>
    </w:rPr>
  </w:style>
  <w:style w:type="character" w:styleId="852">
    <w:name w:val="Стиль3 Знак Знак"/>
    <w:basedOn w:val="838"/>
    <w:link w:val="920"/>
    <w:qFormat/>
    <w:rPr>
      <w:sz w:val="24"/>
    </w:rPr>
  </w:style>
  <w:style w:type="character" w:styleId="853">
    <w:name w:val="Contents 8"/>
    <w:qFormat/>
    <w:rPr>
      <w:rFonts w:ascii="XO Thames" w:hAnsi="XO Thames"/>
      <w:sz w:val="28"/>
    </w:rPr>
  </w:style>
  <w:style w:type="character" w:styleId="854">
    <w:name w:val="Условия контракта"/>
    <w:link w:val="996"/>
    <w:qFormat/>
    <w:rPr>
      <w:b/>
    </w:rPr>
  </w:style>
  <w:style w:type="character" w:styleId="855">
    <w:name w:val="Contents 5"/>
    <w:qFormat/>
    <w:rPr>
      <w:rFonts w:ascii="XO Thames" w:hAnsi="XO Thames"/>
      <w:sz w:val="28"/>
    </w:rPr>
  </w:style>
  <w:style w:type="character" w:styleId="856">
    <w:name w:val="Колонтитул"/>
    <w:link w:val="893"/>
    <w:qFormat/>
  </w:style>
  <w:style w:type="character" w:styleId="857">
    <w:name w:val="Balloon Text"/>
    <w:link w:val="923"/>
    <w:qFormat/>
    <w:rPr>
      <w:rFonts w:ascii="Tahoma" w:hAnsi="Tahoma"/>
      <w:sz w:val="16"/>
    </w:rPr>
  </w:style>
  <w:style w:type="character" w:styleId="858">
    <w:name w:val="annotation reference"/>
    <w:basedOn w:val="863"/>
    <w:link w:val="924"/>
    <w:qFormat/>
    <w:rPr>
      <w:sz w:val="16"/>
    </w:rPr>
  </w:style>
  <w:style w:type="character" w:styleId="859">
    <w:name w:val="List Paragraph"/>
    <w:link w:val="925"/>
    <w:qFormat/>
  </w:style>
  <w:style w:type="character" w:styleId="860">
    <w:name w:val="Subtitle1"/>
    <w:qFormat/>
    <w:rPr>
      <w:rFonts w:ascii="XO Thames" w:hAnsi="XO Thames"/>
      <w:i/>
      <w:sz w:val="24"/>
    </w:rPr>
  </w:style>
  <w:style w:type="character" w:styleId="861">
    <w:name w:val="Title1"/>
    <w:qFormat/>
    <w:rPr>
      <w:color w:val="000000"/>
    </w:rPr>
  </w:style>
  <w:style w:type="character" w:styleId="862">
    <w:name w:val="Heading 41"/>
    <w:qFormat/>
    <w:rPr>
      <w:rFonts w:ascii="XO Thames" w:hAnsi="XO Thames"/>
      <w:b/>
      <w:sz w:val="24"/>
    </w:rPr>
  </w:style>
  <w:style w:type="character" w:styleId="863" w:default="1">
    <w:name w:val="Default Paragraph Font"/>
    <w:link w:val="928"/>
    <w:qFormat/>
  </w:style>
  <w:style w:type="character" w:styleId="864">
    <w:name w:val="Normal (Web)"/>
    <w:link w:val="929"/>
    <w:qFormat/>
  </w:style>
  <w:style w:type="character" w:styleId="865">
    <w:name w:val="Heading 21"/>
    <w:qFormat/>
    <w:rPr>
      <w:rFonts w:ascii="XO Thames" w:hAnsi="XO Thames"/>
      <w:b/>
      <w:sz w:val="28"/>
    </w:rPr>
  </w:style>
  <w:style w:type="character" w:styleId="866">
    <w:name w:val="Text body"/>
    <w:qFormat/>
  </w:style>
  <w:style w:type="character" w:styleId="867">
    <w:name w:val="Стиль2"/>
    <w:basedOn w:val="840"/>
    <w:link w:val="930"/>
    <w:qFormat/>
    <w:rPr>
      <w:b/>
    </w:rPr>
  </w:style>
  <w:style w:type="character" w:styleId="868">
    <w:name w:val="Заголовок 1 Знак"/>
    <w:basedOn w:val="863"/>
    <w:link w:val="1000"/>
    <w:qFormat/>
    <w:rPr>
      <w:rFonts w:ascii="Arial Unicode MS" w:hAnsi="Arial Unicode MS"/>
      <w:b/>
      <w:color w:val="000000"/>
      <w:sz w:val="48"/>
    </w:rPr>
  </w:style>
  <w:style w:type="paragraph" w:styleId="869">
    <w:name w:val="Заголовок1"/>
    <w:basedOn w:val="784"/>
    <w:next w:val="870"/>
    <w:qFormat/>
    <w:pPr>
      <w:keepNext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870">
    <w:name w:val="Body Text"/>
    <w:basedOn w:val="784"/>
    <w:pPr>
      <w:jc w:val="both"/>
      <w:spacing w:before="120" w:after="120"/>
    </w:pPr>
  </w:style>
  <w:style w:type="paragraph" w:styleId="871">
    <w:name w:val="List"/>
    <w:basedOn w:val="870"/>
    <w:rPr>
      <w:rFonts w:ascii="PT Astra Serif" w:hAnsi="PT Astra Serif"/>
    </w:rPr>
  </w:style>
  <w:style w:type="paragraph" w:styleId="872">
    <w:name w:val="Caption"/>
    <w:basedOn w:val="784"/>
    <w:qFormat/>
    <w:pPr>
      <w:spacing w:before="120" w:after="120"/>
    </w:pPr>
    <w:rPr>
      <w:rFonts w:ascii="PT Astra Serif" w:hAnsi="PT Astra Serif"/>
      <w:i/>
      <w:sz w:val="24"/>
    </w:rPr>
  </w:style>
  <w:style w:type="paragraph" w:styleId="873">
    <w:name w:val="Указатель1"/>
    <w:basedOn w:val="784"/>
    <w:qFormat/>
    <w:pPr>
      <w:suppressLineNumbers/>
    </w:pPr>
    <w:rPr>
      <w:rFonts w:cs="Noto Sans Devanagari"/>
    </w:rPr>
  </w:style>
  <w:style w:type="paragraph" w:styleId="874">
    <w:name w:val="Заголовок111"/>
    <w:basedOn w:val="784"/>
    <w:next w:val="870"/>
    <w:qFormat/>
    <w:pPr>
      <w:keepNext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875">
    <w:name w:val="Указатель111"/>
    <w:basedOn w:val="784"/>
    <w:qFormat/>
    <w:pPr>
      <w:suppressLineNumbers/>
    </w:pPr>
    <w:rPr>
      <w:rFonts w:cs="Noto Sans Devanagari"/>
    </w:rPr>
  </w:style>
  <w:style w:type="paragraph" w:styleId="876">
    <w:name w:val="Заголовок1111"/>
    <w:basedOn w:val="784"/>
    <w:next w:val="870"/>
    <w:qFormat/>
    <w:pPr>
      <w:keepNext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877">
    <w:name w:val="Указатель1111"/>
    <w:basedOn w:val="784"/>
    <w:qFormat/>
    <w:pPr>
      <w:suppressLineNumbers/>
    </w:pPr>
    <w:rPr>
      <w:rFonts w:cs="Noto Sans Devanagari"/>
    </w:rPr>
  </w:style>
  <w:style w:type="paragraph" w:styleId="878">
    <w:name w:val="Заголовок11111"/>
    <w:basedOn w:val="784"/>
    <w:next w:val="870"/>
    <w:link w:val="841"/>
    <w:qFormat/>
    <w:pPr>
      <w:keepNext/>
      <w:spacing w:before="240" w:after="120"/>
    </w:pPr>
    <w:rPr>
      <w:rFonts w:ascii="PT Astra Serif" w:hAnsi="PT Astra Serif"/>
      <w:sz w:val="28"/>
    </w:rPr>
  </w:style>
  <w:style w:type="paragraph" w:styleId="879">
    <w:name w:val="Указатель11111"/>
    <w:basedOn w:val="784"/>
    <w:link w:val="828"/>
    <w:qFormat/>
    <w:rPr>
      <w:rFonts w:ascii="PT Astra Serif" w:hAnsi="PT Astra Serif"/>
    </w:rPr>
  </w:style>
  <w:style w:type="paragraph" w:styleId="880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Tahoma" w:cs="Noto Sans Devanagari"/>
      <w:color w:val="000000"/>
      <w:sz w:val="20"/>
      <w:szCs w:val="20"/>
      <w:lang w:val="ru-RU" w:eastAsia="zh-CN" w:bidi="hi-IN"/>
    </w:rPr>
  </w:style>
  <w:style w:type="paragraph" w:styleId="881">
    <w:name w:val="Quote"/>
    <w:basedOn w:val="784"/>
    <w:next w:val="784"/>
    <w:link w:val="805"/>
    <w:uiPriority w:val="29"/>
    <w:qFormat/>
    <w:pPr>
      <w:ind w:left="720" w:right="720" w:firstLine="0"/>
    </w:pPr>
    <w:rPr>
      <w:i/>
    </w:rPr>
  </w:style>
  <w:style w:type="paragraph" w:styleId="882">
    <w:name w:val="Intense Quote"/>
    <w:basedOn w:val="784"/>
    <w:next w:val="784"/>
    <w:link w:val="806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83">
    <w:name w:val="footnote text"/>
    <w:basedOn w:val="784"/>
    <w:link w:val="810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84">
    <w:name w:val="endnote text"/>
    <w:basedOn w:val="784"/>
    <w:link w:val="813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85">
    <w:name w:val="Index Heading"/>
    <w:basedOn w:val="878"/>
  </w:style>
  <w:style w:type="paragraph" w:styleId="886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000000"/>
      <w:sz w:val="20"/>
      <w:szCs w:val="20"/>
      <w:lang w:val="ru-RU" w:eastAsia="zh-CN" w:bidi="hi-IN"/>
    </w:rPr>
  </w:style>
  <w:style w:type="paragraph" w:styleId="887">
    <w:name w:val="table of figures"/>
    <w:basedOn w:val="784"/>
    <w:next w:val="784"/>
    <w:uiPriority w:val="99"/>
    <w:unhideWhenUsed/>
    <w:qFormat/>
    <w:pPr>
      <w:spacing w:before="0" w:after="0" w:afterAutospacing="0"/>
    </w:pPr>
  </w:style>
  <w:style w:type="paragraph" w:styleId="888">
    <w:name w:val="toc 2"/>
    <w:next w:val="784"/>
    <w:uiPriority w:val="39"/>
    <w:pPr>
      <w:ind w:left="2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889">
    <w:name w:val="toc 4"/>
    <w:next w:val="784"/>
    <w:uiPriority w:val="39"/>
    <w:pPr>
      <w:ind w:left="6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890">
    <w:name w:val="Body Text 21"/>
    <w:basedOn w:val="784"/>
    <w:link w:val="818"/>
    <w:qFormat/>
    <w:rPr>
      <w:sz w:val="26"/>
    </w:rPr>
  </w:style>
  <w:style w:type="paragraph" w:styleId="891">
    <w:name w:val="toc 6"/>
    <w:next w:val="784"/>
    <w:uiPriority w:val="39"/>
    <w:pPr>
      <w:ind w:left="10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892">
    <w:name w:val="toc 7"/>
    <w:next w:val="784"/>
    <w:uiPriority w:val="39"/>
    <w:pPr>
      <w:ind w:left="12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893">
    <w:name w:val="Колонтитул1"/>
    <w:basedOn w:val="784"/>
    <w:link w:val="856"/>
    <w:qFormat/>
  </w:style>
  <w:style w:type="paragraph" w:styleId="894">
    <w:name w:val="Колонтитул2"/>
    <w:basedOn w:val="784"/>
    <w:qFormat/>
  </w:style>
  <w:style w:type="paragraph" w:styleId="895">
    <w:name w:val="Колонтитул3"/>
    <w:basedOn w:val="784"/>
    <w:qFormat/>
  </w:style>
  <w:style w:type="paragraph" w:styleId="896">
    <w:name w:val="Колонтитул4"/>
    <w:basedOn w:val="784"/>
    <w:qFormat/>
  </w:style>
  <w:style w:type="paragraph" w:styleId="897">
    <w:name w:val="Колонтитул5"/>
    <w:basedOn w:val="784"/>
    <w:qFormat/>
  </w:style>
  <w:style w:type="paragraph" w:styleId="898">
    <w:name w:val="Header"/>
    <w:basedOn w:val="784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99">
    <w:name w:val="page number1"/>
    <w:basedOn w:val="928"/>
    <w:link w:val="822"/>
    <w:qFormat/>
  </w:style>
  <w:style w:type="paragraph" w:styleId="900">
    <w:name w:val="Endnote1"/>
    <w:link w:val="824"/>
    <w:qFormat/>
    <w:pPr>
      <w:ind w:left="0" w:firstLine="851"/>
      <w:jc w:val="both"/>
      <w:spacing w:before="0" w:after="0"/>
      <w:widowControl/>
    </w:pPr>
    <w:rPr>
      <w:rFonts w:ascii="XO Thames" w:hAnsi="XO Thames" w:eastAsia="Tahoma" w:cs="Noto Sans Devanagari"/>
      <w:color w:val="000000"/>
      <w:sz w:val="22"/>
      <w:szCs w:val="20"/>
      <w:lang w:val="ru-RU" w:eastAsia="zh-CN" w:bidi="hi-IN"/>
    </w:rPr>
  </w:style>
  <w:style w:type="paragraph" w:styleId="901">
    <w:name w:val="Body Text Indent"/>
    <w:basedOn w:val="784"/>
    <w:pPr>
      <w:spacing w:beforeAutospacing="1" w:afterAutospacing="1"/>
    </w:pPr>
    <w:rPr>
      <w:color w:val="000000"/>
    </w:rPr>
  </w:style>
  <w:style w:type="paragraph" w:styleId="902">
    <w:name w:val="Footer"/>
    <w:basedOn w:val="784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903">
    <w:name w:val="Unresolved Mention1"/>
    <w:basedOn w:val="928"/>
    <w:link w:val="829"/>
    <w:qFormat/>
    <w:rPr>
      <w:color w:val="605e5c"/>
      <w:shd w:val="clear" w:color="auto" w:fill="e1dfdd"/>
    </w:rPr>
  </w:style>
  <w:style w:type="paragraph" w:styleId="904">
    <w:name w:val="Подраздел1"/>
    <w:basedOn w:val="784"/>
    <w:link w:val="830"/>
    <w:qFormat/>
    <w:pPr>
      <w:jc w:val="center"/>
      <w:spacing w:before="240" w:after="120"/>
    </w:pPr>
    <w:rPr>
      <w:rFonts w:ascii="TimesDL" w:hAnsi="TimesDL"/>
      <w:b/>
      <w:smallCaps/>
      <w:spacing w:val="-2"/>
    </w:rPr>
  </w:style>
  <w:style w:type="paragraph" w:styleId="905">
    <w:name w:val="xl221"/>
    <w:basedOn w:val="784"/>
    <w:link w:val="831"/>
    <w:qFormat/>
    <w:pPr>
      <w:jc w:val="center"/>
      <w:spacing w:beforeAutospacing="1" w:afterAutospacing="1"/>
    </w:pPr>
    <w:rPr>
      <w:rFonts w:ascii="Arial Unicode MS" w:hAnsi="Arial Unicode MS"/>
      <w:b/>
    </w:rPr>
  </w:style>
  <w:style w:type="paragraph" w:styleId="906">
    <w:name w:val="Знак1"/>
    <w:basedOn w:val="784"/>
    <w:link w:val="832"/>
    <w:qFormat/>
    <w:pPr>
      <w:jc w:val="both"/>
      <w:spacing w:before="0" w:after="160" w:line="240" w:lineRule="exact"/>
    </w:pPr>
  </w:style>
  <w:style w:type="paragraph" w:styleId="907">
    <w:name w:val="Default1"/>
    <w:link w:val="833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000000"/>
      <w:sz w:val="24"/>
      <w:szCs w:val="20"/>
      <w:lang w:val="ru-RU" w:eastAsia="zh-CN" w:bidi="hi-IN"/>
    </w:rPr>
  </w:style>
  <w:style w:type="paragraph" w:styleId="908">
    <w:name w:val="ConsPlusNormal1"/>
    <w:link w:val="835"/>
    <w:qFormat/>
    <w:pPr>
      <w:ind w:left="0" w:firstLine="720"/>
      <w:jc w:val="left"/>
      <w:spacing w:before="0" w:after="0"/>
      <w:widowControl w:val="off"/>
    </w:pPr>
    <w:rPr>
      <w:rFonts w:ascii="Arial" w:hAnsi="Arial" w:eastAsia="Tahoma" w:cs="Noto Sans Devanagari"/>
      <w:color w:val="000000"/>
      <w:sz w:val="20"/>
      <w:szCs w:val="20"/>
      <w:lang w:val="ru-RU" w:eastAsia="zh-CN" w:bidi="hi-IN"/>
    </w:rPr>
  </w:style>
  <w:style w:type="paragraph" w:styleId="909">
    <w:name w:val="toc 3"/>
    <w:next w:val="784"/>
    <w:uiPriority w:val="39"/>
    <w:pPr>
      <w:ind w:left="4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910">
    <w:name w:val="Основной текст с отступом Знак1"/>
    <w:basedOn w:val="928"/>
    <w:link w:val="837"/>
    <w:qFormat/>
    <w:rPr>
      <w:color w:val="000000"/>
      <w:sz w:val="24"/>
    </w:rPr>
  </w:style>
  <w:style w:type="paragraph" w:styleId="911">
    <w:name w:val="Body Text Indent 21"/>
    <w:basedOn w:val="784"/>
    <w:link w:val="838"/>
    <w:qFormat/>
    <w:pPr>
      <w:ind w:left="0" w:firstLine="567"/>
      <w:jc w:val="both"/>
      <w:widowControl w:val="off"/>
    </w:pPr>
    <w:rPr>
      <w:sz w:val="28"/>
    </w:rPr>
  </w:style>
  <w:style w:type="paragraph" w:styleId="912">
    <w:name w:val="List Number 21"/>
    <w:basedOn w:val="784"/>
    <w:link w:val="840"/>
    <w:qFormat/>
    <w:pPr>
      <w:numPr>
        <w:ilvl w:val="0"/>
        <w:numId w:val="1"/>
      </w:numPr>
    </w:pPr>
  </w:style>
  <w:style w:type="paragraph" w:styleId="913">
    <w:name w:val="Internet link"/>
    <w:basedOn w:val="928"/>
    <w:qFormat/>
    <w:rPr>
      <w:color w:val="0000ff"/>
      <w:u w:val="single"/>
    </w:rPr>
  </w:style>
  <w:style w:type="paragraph" w:styleId="914">
    <w:name w:val="Footnote1"/>
    <w:link w:val="845"/>
    <w:qFormat/>
    <w:pPr>
      <w:ind w:left="0" w:firstLine="851"/>
      <w:jc w:val="both"/>
      <w:spacing w:before="0" w:after="0"/>
      <w:widowControl/>
    </w:pPr>
    <w:rPr>
      <w:rFonts w:ascii="XO Thames" w:hAnsi="XO Thames" w:eastAsia="Tahoma" w:cs="Noto Sans Devanagari"/>
      <w:color w:val="000000"/>
      <w:sz w:val="22"/>
      <w:szCs w:val="20"/>
      <w:lang w:val="ru-RU" w:eastAsia="zh-CN" w:bidi="hi-IN"/>
    </w:rPr>
  </w:style>
  <w:style w:type="paragraph" w:styleId="915">
    <w:name w:val="toc 1"/>
    <w:next w:val="784"/>
    <w:uiPriority w:val="39"/>
    <w:pPr>
      <w:ind w:left="0" w:firstLine="0"/>
      <w:jc w:val="left"/>
      <w:spacing w:before="0" w:after="0"/>
      <w:widowControl/>
    </w:pPr>
    <w:rPr>
      <w:rFonts w:ascii="XO Thames" w:hAnsi="XO Thames" w:eastAsia="Tahoma" w:cs="Noto Sans Devanagari"/>
      <w:b/>
      <w:color w:val="000000"/>
      <w:sz w:val="28"/>
      <w:szCs w:val="20"/>
      <w:lang w:val="ru-RU" w:eastAsia="zh-CN" w:bidi="hi-IN"/>
    </w:rPr>
  </w:style>
  <w:style w:type="paragraph" w:styleId="916">
    <w:name w:val="Содержимое врезки1"/>
    <w:basedOn w:val="784"/>
    <w:link w:val="847"/>
    <w:qFormat/>
  </w:style>
  <w:style w:type="paragraph" w:styleId="917">
    <w:name w:val="toc 9"/>
    <w:next w:val="784"/>
    <w:uiPriority w:val="39"/>
    <w:pPr>
      <w:ind w:left="16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918">
    <w:name w:val="Body Text Indent 31"/>
    <w:basedOn w:val="784"/>
    <w:link w:val="850"/>
    <w:qFormat/>
    <w:pPr>
      <w:ind w:left="0" w:firstLine="540"/>
      <w:tabs>
        <w:tab w:val="left" w:pos="0" w:leader="none"/>
        <w:tab w:val="clear" w:pos="708" w:leader="none"/>
      </w:tabs>
    </w:pPr>
    <w:rPr>
      <w:b/>
      <w:sz w:val="26"/>
    </w:rPr>
  </w:style>
  <w:style w:type="paragraph" w:styleId="919">
    <w:name w:val="Заголовок Знак1"/>
    <w:basedOn w:val="928"/>
    <w:link w:val="851"/>
    <w:qFormat/>
    <w:rPr>
      <w:color w:val="000000"/>
      <w:sz w:val="24"/>
    </w:rPr>
  </w:style>
  <w:style w:type="paragraph" w:styleId="920">
    <w:name w:val="Стиль3 Знак Знак1"/>
    <w:basedOn w:val="911"/>
    <w:link w:val="852"/>
    <w:qFormat/>
    <w:pPr>
      <w:ind w:left="0" w:firstLine="0"/>
      <w:spacing w:before="120" w:after="0"/>
      <w:tabs>
        <w:tab w:val="left" w:pos="227" w:leader="none"/>
        <w:tab w:val="clear" w:pos="708" w:leader="none"/>
      </w:tabs>
    </w:pPr>
    <w:rPr>
      <w:sz w:val="24"/>
    </w:rPr>
  </w:style>
  <w:style w:type="paragraph" w:styleId="921">
    <w:name w:val="toc 8"/>
    <w:next w:val="784"/>
    <w:uiPriority w:val="39"/>
    <w:pPr>
      <w:ind w:left="14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922">
    <w:name w:val="toc 5"/>
    <w:next w:val="784"/>
    <w:uiPriority w:val="39"/>
    <w:pPr>
      <w:ind w:left="8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923">
    <w:name w:val="Balloon Text1"/>
    <w:basedOn w:val="784"/>
    <w:link w:val="857"/>
    <w:qFormat/>
    <w:rPr>
      <w:rFonts w:ascii="Tahoma" w:hAnsi="Tahoma"/>
      <w:sz w:val="16"/>
    </w:rPr>
  </w:style>
  <w:style w:type="paragraph" w:styleId="924">
    <w:name w:val="annotation reference1"/>
    <w:basedOn w:val="928"/>
    <w:link w:val="858"/>
    <w:qFormat/>
    <w:rPr>
      <w:sz w:val="16"/>
    </w:rPr>
  </w:style>
  <w:style w:type="paragraph" w:styleId="925">
    <w:name w:val="List Paragraph1"/>
    <w:basedOn w:val="784"/>
    <w:link w:val="859"/>
    <w:qFormat/>
    <w:pPr>
      <w:contextualSpacing/>
      <w:ind w:left="720" w:firstLine="0"/>
      <w:spacing w:before="0" w:after="0"/>
    </w:pPr>
  </w:style>
  <w:style w:type="paragraph" w:styleId="926">
    <w:name w:val="Subtitle"/>
    <w:next w:val="784"/>
    <w:uiPriority w:val="11"/>
    <w:qFormat/>
    <w:pPr>
      <w:jc w:val="both"/>
      <w:spacing w:before="0" w:after="0"/>
      <w:widowControl/>
    </w:pPr>
    <w:rPr>
      <w:rFonts w:ascii="XO Thames" w:hAnsi="XO Thames" w:eastAsia="Tahoma" w:cs="Noto Sans Devanagari"/>
      <w:i/>
      <w:color w:val="000000"/>
      <w:sz w:val="24"/>
      <w:szCs w:val="20"/>
      <w:lang w:val="ru-RU" w:eastAsia="zh-CN" w:bidi="hi-IN"/>
    </w:rPr>
  </w:style>
  <w:style w:type="paragraph" w:styleId="927">
    <w:name w:val="Title"/>
    <w:basedOn w:val="784"/>
    <w:uiPriority w:val="10"/>
    <w:qFormat/>
    <w:pPr>
      <w:spacing w:beforeAutospacing="1" w:afterAutospacing="1"/>
    </w:pPr>
    <w:rPr>
      <w:color w:val="000000"/>
    </w:rPr>
  </w:style>
  <w:style w:type="paragraph" w:styleId="928">
    <w:name w:val="Default Paragraph Font1"/>
    <w:link w:val="863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000000"/>
      <w:sz w:val="20"/>
      <w:szCs w:val="20"/>
      <w:lang w:val="ru-RU" w:eastAsia="zh-CN" w:bidi="hi-IN"/>
    </w:rPr>
  </w:style>
  <w:style w:type="paragraph" w:styleId="929">
    <w:name w:val="Normal (Web)1"/>
    <w:basedOn w:val="784"/>
    <w:link w:val="864"/>
    <w:qFormat/>
    <w:pPr>
      <w:spacing w:beforeAutospacing="1" w:afterAutospacing="1"/>
    </w:pPr>
  </w:style>
  <w:style w:type="paragraph" w:styleId="930">
    <w:name w:val="Стиль21"/>
    <w:basedOn w:val="912"/>
    <w:link w:val="867"/>
    <w:qFormat/>
    <w:pPr>
      <w:numPr>
        <w:ilvl w:val="0"/>
        <w:numId w:val="0"/>
      </w:numPr>
      <w:ind w:left="576" w:hanging="576"/>
      <w:jc w:val="both"/>
      <w:keepLines/>
      <w:keepNext/>
      <w:spacing w:before="120" w:after="0"/>
      <w:widowControl w:val="off"/>
      <w:tabs>
        <w:tab w:val="left" w:pos="576" w:leader="none"/>
        <w:tab w:val="clear" w:pos="708" w:leader="none"/>
      </w:tabs>
    </w:pPr>
    <w:rPr>
      <w:b/>
    </w:rPr>
  </w:style>
  <w:style w:type="paragraph" w:styleId="931">
    <w:name w:val="Содержимое врезки2"/>
    <w:basedOn w:val="784"/>
    <w:qFormat/>
  </w:style>
  <w:style w:type="paragraph" w:styleId="932">
    <w:name w:val="Содержимое врезки3"/>
    <w:basedOn w:val="784"/>
    <w:qFormat/>
  </w:style>
  <w:style w:type="paragraph" w:styleId="933">
    <w:name w:val="Содержимое врезки4"/>
    <w:basedOn w:val="784"/>
    <w:qFormat/>
  </w:style>
  <w:style w:type="numbering" w:styleId="934" w:default="1">
    <w:name w:val="No List"/>
    <w:uiPriority w:val="99"/>
    <w:semiHidden/>
    <w:unhideWhenUsed/>
    <w:qFormat/>
  </w:style>
  <w:style w:type="table" w:styleId="935">
    <w:name w:val="Table Grid Light"/>
    <w:basedOn w:val="106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6">
    <w:name w:val="Plain Table 1"/>
    <w:basedOn w:val="106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937">
    <w:name w:val="Plain Table 2"/>
    <w:basedOn w:val="106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938">
    <w:name w:val="Plain Table 3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39">
    <w:name w:val="Plain Table 4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>
    <w:name w:val="Plain Table 5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41">
    <w:name w:val="Grid Table 1 Light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>
    <w:name w:val="Grid Table 1 Light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>
    <w:name w:val="Grid Table 1 Light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>
    <w:name w:val="Grid Table 1 Light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5">
    <w:name w:val="Grid Table 1 Light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6">
    <w:name w:val="Grid Table 1 Light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7">
    <w:name w:val="Grid Table 1 Light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8">
    <w:name w:val="Grid Table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>
    <w:name w:val="Grid Table 2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>
    <w:name w:val="Grid Table 2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>
    <w:name w:val="Grid Table 2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>
    <w:name w:val="Grid Table 2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>
    <w:name w:val="Grid Table 2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>
    <w:name w:val="Grid Table 2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>
    <w:name w:val="Grid Table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>
    <w:name w:val="Grid Table 3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Grid Table 3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>
    <w:name w:val="Grid Table 3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Grid Table 3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>
    <w:name w:val="Grid Table 3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>
    <w:name w:val="Grid Table 3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>
    <w:name w:val="Grid Table 4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63">
    <w:name w:val="Grid Table 4 - Accent 1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964">
    <w:name w:val="Grid Table 4 - Accent 2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965">
    <w:name w:val="Grid Table 4 - Accent 3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966">
    <w:name w:val="Grid Table 4 - Accent 4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967">
    <w:name w:val="Grid Table 4 - Accent 5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68">
    <w:name w:val="Grid Table 4 - Accent 6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69">
    <w:name w:val="Grid Table 5 Dark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970">
    <w:name w:val="Grid Table 5 Dark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971">
    <w:name w:val="Grid Table 5 Dark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972">
    <w:name w:val="Grid Table 5 Dark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973">
    <w:name w:val="Grid Table 5 Dark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974">
    <w:name w:val="Grid Table 5 Dark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975">
    <w:name w:val="Grid Table 5 Dark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976">
    <w:name w:val="Grid Table 6 Colorful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977">
    <w:name w:val="Grid Table 6 Colorful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978">
    <w:name w:val="Grid Table 6 Colorful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979">
    <w:name w:val="Grid Table 6 Colorful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980">
    <w:name w:val="Grid Table 6 Colorful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981">
    <w:name w:val="Grid Table 6 Colorful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982">
    <w:name w:val="Grid Table 6 Colorful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983">
    <w:name w:val="Grid Table 7 Colorful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>
    <w:name w:val="Grid Table 7 Colorful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5">
    <w:name w:val="Grid Table 7 Colorful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6">
    <w:name w:val="Grid Table 7 Colorful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7">
    <w:name w:val="Grid Table 7 Colorful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8">
    <w:name w:val="Grid Table 7 Colorful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9">
    <w:name w:val="Grid Table 7 Colorful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0">
    <w:name w:val="List Table 1 Light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1">
    <w:name w:val="List Table 1 Light - Accent 1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2">
    <w:name w:val="List Table 1 Light - Accent 2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3">
    <w:name w:val="List Table 1 Light - Accent 3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4">
    <w:name w:val="List Table 1 Light - Accent 4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5">
    <w:name w:val="List Table 1 Light - Accent 5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6">
    <w:name w:val="List Table 1 Light - Accent 6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7">
    <w:name w:val="List Table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98">
    <w:name w:val="List Table 2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99">
    <w:name w:val="List Table 2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000">
    <w:name w:val="List Table 2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001">
    <w:name w:val="List Table 2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002">
    <w:name w:val="List Table 2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003">
    <w:name w:val="List Table 2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004">
    <w:name w:val="List Table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5">
    <w:name w:val="List Table 3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6">
    <w:name w:val="List Table 3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7">
    <w:name w:val="List Table 3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8">
    <w:name w:val="List Table 3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9">
    <w:name w:val="List Table 3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0">
    <w:name w:val="List Table 3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1">
    <w:name w:val="List Table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2">
    <w:name w:val="List Table 4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3">
    <w:name w:val="List Table 4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4">
    <w:name w:val="List Table 4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5">
    <w:name w:val="List Table 4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6">
    <w:name w:val="List Table 4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7">
    <w:name w:val="List Table 4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8">
    <w:name w:val="List Table 5 Dark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19">
    <w:name w:val="List Table 5 Dark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0">
    <w:name w:val="List Table 5 Dark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1">
    <w:name w:val="List Table 5 Dark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2">
    <w:name w:val="List Table 5 Dark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3">
    <w:name w:val="List Table 5 Dark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4">
    <w:name w:val="List Table 5 Dark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5">
    <w:name w:val="List Table 6 Colorful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026">
    <w:name w:val="List Table 6 Colorful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027">
    <w:name w:val="List Table 6 Colorful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1028">
    <w:name w:val="List Table 6 Colorful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1029">
    <w:name w:val="List Table 6 Colorful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1030">
    <w:name w:val="List Table 6 Colorful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1031">
    <w:name w:val="List Table 6 Colorful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1032">
    <w:name w:val="List Table 7 Colorful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1033">
    <w:name w:val="List Table 7 Colorful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1034">
    <w:name w:val="List Table 7 Colorful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1035">
    <w:name w:val="List Table 7 Colorful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1036">
    <w:name w:val="List Table 7 Colorful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1037">
    <w:name w:val="List Table 7 Colorful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1038">
    <w:name w:val="List Table 7 Colorful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1039">
    <w:name w:val="Lined - Accent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1040">
    <w:name w:val="Lined - Accent 1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1041">
    <w:name w:val="Lined - Accent 2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1042">
    <w:name w:val="Lined - Accent 3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1043">
    <w:name w:val="Lined - Accent 4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1044">
    <w:name w:val="Lined - Accent 5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1045">
    <w:name w:val="Lined - Accent 6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1046">
    <w:name w:val="Bordered &amp; Lined - Accent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1047">
    <w:name w:val="Bordered &amp; Lined - Accent 1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1048">
    <w:name w:val="Bordered &amp; Lined - Accent 2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1049">
    <w:name w:val="Bordered &amp; Lined - Accent 3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1050">
    <w:name w:val="Bordered &amp; Lined - Accent 4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1051">
    <w:name w:val="Bordered &amp; Lined - Accent 5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1052">
    <w:name w:val="Bordered &amp; Lined - Accent 6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1053">
    <w:name w:val="Bordered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54">
    <w:name w:val="Bordered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55">
    <w:name w:val="Bordered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1056">
    <w:name w:val="Bordered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1057">
    <w:name w:val="Bordered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1058">
    <w:name w:val="Bordered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1059">
    <w:name w:val="Bordered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1060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1061">
    <w:name w:val="Table Grid"/>
    <w:basedOn w:val="106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revision>11</cp:revision>
  <dcterms:modified xsi:type="dcterms:W3CDTF">2026-08-25T05:48:55Z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