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0"/>
        <w:ind w:left="6660"/>
        <w:widowControl w:val="off"/>
        <w:rPr>
          <w:sz w:val="20"/>
          <w:szCs w:val="20"/>
        </w:rPr>
        <w:outlineLvl w:val="0"/>
      </w:pPr>
      <w:r>
        <w:rPr>
          <w:sz w:val="20"/>
          <w:szCs w:val="20"/>
        </w:rPr>
        <w:t xml:space="preserve">УТВЕРЖДАЮ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20"/>
        <w:ind w:left="6660"/>
        <w:tabs>
          <w:tab w:val="left" w:pos="6379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З</w:t>
      </w:r>
      <w:r>
        <w:rPr>
          <w:sz w:val="20"/>
          <w:szCs w:val="20"/>
        </w:rPr>
        <w:t xml:space="preserve">аместител</w:t>
      </w:r>
      <w:r>
        <w:rPr>
          <w:sz w:val="20"/>
          <w:szCs w:val="20"/>
        </w:rPr>
        <w:t xml:space="preserve">ь</w:t>
      </w:r>
      <w:r>
        <w:rPr>
          <w:sz w:val="20"/>
          <w:szCs w:val="20"/>
        </w:rPr>
        <w:t xml:space="preserve"> председателя Государственного комитета Республики Татарстан по закупкам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20"/>
        <w:ind w:left="6660"/>
        <w:tabs>
          <w:tab w:val="left" w:pos="6379" w:leader="none"/>
        </w:tabs>
        <w:rPr>
          <w:sz w:val="20"/>
          <w:szCs w:val="20"/>
        </w:rPr>
      </w:pPr>
      <w:r>
        <w:rPr>
          <w:rFonts w:eastAsia="Arial Unicode MS"/>
          <w:sz w:val="20"/>
          <w:szCs w:val="20"/>
        </w:rPr>
        <w:t xml:space="preserve">__________</w:t>
      </w:r>
      <w:r>
        <w:rPr>
          <w:rFonts w:eastAsia="Arial Unicode MS"/>
          <w:sz w:val="20"/>
          <w:szCs w:val="20"/>
        </w:rPr>
        <w:t xml:space="preserve">___</w:t>
      </w:r>
      <w:r>
        <w:rPr>
          <w:rFonts w:eastAsia="Arial Unicode MS"/>
          <w:sz w:val="20"/>
          <w:szCs w:val="20"/>
        </w:rPr>
        <w:t xml:space="preserve">/</w:t>
      </w:r>
      <w:r>
        <w:rPr>
          <w:sz w:val="20"/>
          <w:szCs w:val="20"/>
        </w:rPr>
        <w:t xml:space="preserve">М.С. Алмазова</w:t>
      </w:r>
      <w:r>
        <w:rPr>
          <w:rFonts w:eastAsia="Arial Unicode MS"/>
          <w:sz w:val="20"/>
          <w:szCs w:val="20"/>
        </w:rPr>
        <w:t xml:space="preserve">/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20"/>
        <w:jc w:val="center"/>
        <w:widowControl w:val="off"/>
        <w:rPr>
          <w:sz w:val="20"/>
          <w:szCs w:val="20"/>
          <w:lang w:val="en-US" w:eastAsia="en-US"/>
        </w:rPr>
        <w:outlineLvl w:val="0"/>
      </w:pP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20"/>
        <w:jc w:val="center"/>
        <w:widowControl w:val="off"/>
        <w:rPr>
          <w:sz w:val="20"/>
          <w:szCs w:val="20"/>
          <w:lang w:val="en-US" w:eastAsia="en-US"/>
        </w:rPr>
        <w:outlineLvl w:val="0"/>
      </w:pPr>
      <w:r>
        <w:rPr>
          <w:sz w:val="20"/>
          <w:szCs w:val="20"/>
          <w:lang w:val="en-US" w:eastAsia="en-US"/>
        </w:rPr>
        <w:t xml:space="preserve">Протокол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20"/>
        <w:ind w:firstLine="142"/>
        <w:jc w:val="center"/>
        <w:widowControl w:val="off"/>
      </w:pPr>
      <w:r>
        <w:rPr>
          <w:sz w:val="20"/>
          <w:szCs w:val="20"/>
          <w:lang w:val="en-US" w:eastAsia="en-US"/>
        </w:rPr>
        <w:t xml:space="preserve">рассмотрения, оценки и сопоставления предложений на участие в конкурентном отборе </w:t>
      </w:r>
      <w:r>
        <w:rPr>
          <w:sz w:val="20"/>
          <w:szCs w:val="20"/>
          <w:lang w:val="en-US" w:eastAsia="en-US"/>
        </w:rPr>
        <w:t xml:space="preserve">№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  <w:t xml:space="preserve">0011326023DP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  <w:r/>
      <w:r>
        <w:rPr>
          <w:sz w:val="20"/>
          <w:szCs w:val="20"/>
          <w:lang w:eastAsia="en-US"/>
        </w:rPr>
      </w:r>
    </w:p>
    <w:p>
      <w:pPr>
        <w:pStyle w:val="920"/>
        <w:jc w:val="center"/>
        <w:widowControl w:val="off"/>
        <w:rPr>
          <w:sz w:val="20"/>
          <w:szCs w:val="20"/>
          <w:lang w:eastAsia="en-US"/>
        </w:rPr>
        <w:outlineLvl w:val="0"/>
      </w:pP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20"/>
        <w:ind w:left="142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  <w:t xml:space="preserve"> г. Казань       </w:t>
      </w:r>
      <w:r>
        <w:rPr>
          <w:sz w:val="20"/>
          <w:szCs w:val="20"/>
          <w:lang w:val="en-US" w:eastAsia="en-US"/>
        </w:rPr>
        <w:t xml:space="preserve">     </w:t>
      </w:r>
      <w:r>
        <w:rPr>
          <w:sz w:val="20"/>
          <w:szCs w:val="20"/>
          <w:lang w:val="en-US" w:eastAsia="en-US"/>
        </w:rPr>
        <w:t xml:space="preserve">                                                                                                         </w:t>
      </w:r>
      <w:r>
        <w:rPr>
          <w:sz w:val="20"/>
          <w:szCs w:val="20"/>
          <w:lang w:val="en-US" w:eastAsia="en-US"/>
        </w:rPr>
        <w:t xml:space="preserve">                              </w:t>
      </w:r>
      <w:r>
        <w:rPr>
          <w:sz w:val="20"/>
          <w:szCs w:val="20"/>
          <w:lang w:val="en-US" w:eastAsia="en-US"/>
        </w:rPr>
        <w:t xml:space="preserve">         </w:t>
      </w:r>
      <w:r>
        <w:rPr>
          <w:sz w:val="20"/>
          <w:szCs w:val="20"/>
          <w:lang w:eastAsia="en-US"/>
        </w:rPr>
        <w:t xml:space="preserve">  </w:t>
      </w:r>
      <w:r>
        <w:rPr>
          <w:sz w:val="20"/>
          <w:szCs w:val="20"/>
          <w:lang w:val="en-US" w:eastAsia="en-US"/>
        </w:rPr>
        <w:t xml:space="preserve">«</w:t>
      </w:r>
      <w:r>
        <w:rPr>
          <w:sz w:val="20"/>
          <w:szCs w:val="20"/>
          <w:lang w:val="en-US" w:eastAsia="en-US"/>
        </w:rPr>
        <w:t xml:space="preserve">07» сентября</w:t>
      </w:r>
      <w:r>
        <w:rPr>
          <w:sz w:val="20"/>
          <w:szCs w:val="20"/>
          <w:lang w:val="en-US" w:eastAsia="en-US"/>
        </w:rPr>
        <w:t xml:space="preserve"> 202</w:t>
      </w:r>
      <w:r>
        <w:rPr>
          <w:sz w:val="20"/>
          <w:szCs w:val="20"/>
          <w:lang w:val="en-US" w:eastAsia="en-US"/>
        </w:rPr>
        <w:t xml:space="preserve">6 года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20"/>
        <w:ind w:left="142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20"/>
        <w:ind w:firstLine="142"/>
        <w:jc w:val="both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  <w:t xml:space="preserve">1. </w:t>
      </w:r>
      <w:r>
        <w:rPr>
          <w:sz w:val="20"/>
          <w:szCs w:val="20"/>
          <w:lang w:eastAsia="en-US"/>
        </w:rPr>
        <w:t xml:space="preserve">Наименование </w:t>
      </w:r>
      <w:r>
        <w:rPr>
          <w:sz w:val="20"/>
          <w:szCs w:val="20"/>
          <w:lang w:val="en-US" w:eastAsia="en-US"/>
        </w:rPr>
        <w:t xml:space="preserve">уполномочен</w:t>
      </w:r>
      <w:r>
        <w:rPr>
          <w:sz w:val="20"/>
          <w:szCs w:val="20"/>
          <w:lang w:eastAsia="en-US"/>
        </w:rPr>
        <w:t xml:space="preserve">ного</w:t>
      </w:r>
      <w:r>
        <w:rPr>
          <w:sz w:val="20"/>
          <w:szCs w:val="20"/>
          <w:lang w:val="en-US" w:eastAsia="en-US"/>
        </w:rPr>
        <w:t xml:space="preserve"> орган</w:t>
      </w:r>
      <w:r>
        <w:rPr>
          <w:sz w:val="20"/>
          <w:szCs w:val="20"/>
          <w:lang w:eastAsia="en-US"/>
        </w:rPr>
        <w:t xml:space="preserve">а</w:t>
      </w:r>
      <w:r>
        <w:rPr>
          <w:sz w:val="20"/>
          <w:szCs w:val="20"/>
          <w:lang w:val="en-US" w:eastAsia="en-US"/>
        </w:rPr>
        <w:t xml:space="preserve">: Государственный комитет Республики Татарс</w:t>
      </w:r>
      <w:r>
        <w:rPr>
          <w:sz w:val="20"/>
          <w:szCs w:val="20"/>
          <w:lang w:val="en-US" w:eastAsia="en-US"/>
        </w:rPr>
        <w:t xml:space="preserve">тан по</w:t>
      </w:r>
      <w:r>
        <w:rPr>
          <w:sz w:val="20"/>
          <w:szCs w:val="20"/>
          <w:lang w:val="en-US" w:eastAsia="en-US"/>
        </w:rPr>
        <w:t xml:space="preserve"> з</w:t>
      </w:r>
      <w:r>
        <w:rPr>
          <w:sz w:val="20"/>
          <w:szCs w:val="20"/>
          <w:lang w:val="en-US" w:eastAsia="en-US"/>
        </w:rPr>
        <w:t xml:space="preserve">ак</w:t>
      </w:r>
      <w:r>
        <w:rPr>
          <w:sz w:val="20"/>
          <w:szCs w:val="20"/>
          <w:lang w:val="en-US" w:eastAsia="en-US"/>
        </w:rPr>
        <w:t xml:space="preserve">уп</w:t>
      </w:r>
      <w:r>
        <w:rPr>
          <w:sz w:val="20"/>
          <w:szCs w:val="20"/>
          <w:lang w:val="en-US" w:eastAsia="en-US"/>
        </w:rPr>
        <w:t xml:space="preserve">кам.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20"/>
        <w:ind w:firstLine="142"/>
        <w:jc w:val="both"/>
        <w:widowControl w:val="off"/>
        <w:rPr>
          <w:sz w:val="20"/>
          <w:szCs w:val="20"/>
          <w:lang w:eastAsia="en-US"/>
        </w:rPr>
      </w:pPr>
      <w:r>
        <w:rPr>
          <w:sz w:val="20"/>
          <w:szCs w:val="20"/>
          <w:lang w:val="en-US" w:eastAsia="en-US"/>
        </w:rPr>
        <w:t xml:space="preserve">2. </w:t>
      </w:r>
      <w:r>
        <w:rPr>
          <w:sz w:val="20"/>
          <w:szCs w:val="20"/>
          <w:lang w:val="en-US" w:eastAsia="en-US"/>
        </w:rPr>
        <w:t xml:space="preserve">Наименование заказчика: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АНО «Дирекция спортивных и социальных проектов».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20"/>
        <w:ind w:firstLine="142"/>
        <w:jc w:val="both"/>
        <w:widowControl w:val="off"/>
        <w:rPr>
          <w:sz w:val="20"/>
          <w:szCs w:val="20"/>
          <w:lang w:eastAsia="en-US"/>
        </w:rPr>
      </w:pPr>
      <w:r>
        <w:rPr>
          <w:sz w:val="20"/>
          <w:szCs w:val="20"/>
          <w:lang w:val="en-US" w:eastAsia="en-US"/>
        </w:rPr>
        <w:t xml:space="preserve">3. Наименование конкурентного отбора:</w:t>
      </w:r>
      <w:r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  <w:t xml:space="preserve">Право заключения договора на оказание транспортных услуг по перевозке пассажиров и багажа с использованием транспортных средств в рамках подготовки и проведения 36-го заседания Координационного совета генеральных прокуроров государств – участников СНГ, 24-г</w:t>
      </w:r>
      <w:r>
        <w:rPr>
          <w:sz w:val="20"/>
          <w:szCs w:val="20"/>
          <w:lang w:val="en-US" w:eastAsia="en-US"/>
        </w:rPr>
        <w:t xml:space="preserve">о заседания генеральных прокуроров государств – участников Шанхайской организации сотрудничества, круглого стола главных военных прокуроров государств – участников СНГ и государств – членов Шанхайской организации сотрудничества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eastAsia="en-US"/>
        </w:rPr>
        <w:t xml:space="preserve">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20"/>
        <w:ind w:firstLine="142"/>
        <w:jc w:val="both"/>
        <w:widowControl w:val="off"/>
        <w:rPr>
          <w:sz w:val="20"/>
          <w:szCs w:val="20"/>
          <w:highlight w:val="none"/>
          <w:lang w:eastAsia="en-US"/>
        </w:rPr>
      </w:pPr>
      <w:r>
        <w:rPr>
          <w:sz w:val="20"/>
          <w:szCs w:val="20"/>
          <w:lang w:eastAsia="en-US"/>
        </w:rPr>
        <w:t xml:space="preserve">4. Начальная (</w:t>
      </w:r>
      <w:r>
        <w:rPr>
          <w:sz w:val="20"/>
          <w:szCs w:val="20"/>
          <w:lang w:eastAsia="en-US"/>
        </w:rPr>
        <w:t xml:space="preserve">макс</w:t>
      </w:r>
      <w:r>
        <w:rPr>
          <w:sz w:val="20"/>
          <w:szCs w:val="20"/>
          <w:lang w:eastAsia="en-US"/>
        </w:rPr>
        <w:t xml:space="preserve">имальная) цена за единицу</w:t>
      </w:r>
      <w:r>
        <w:rPr>
          <w:sz w:val="20"/>
          <w:szCs w:val="20"/>
          <w:lang w:eastAsia="en-US"/>
        </w:rPr>
        <w:t xml:space="preserve">: </w:t>
      </w:r>
      <w:r>
        <w:rPr>
          <w:sz w:val="20"/>
          <w:szCs w:val="20"/>
          <w:lang w:eastAsia="en-US"/>
        </w:rPr>
        <w:t xml:space="preserve">13 200,00</w:t>
      </w:r>
      <w:r>
        <w:rPr>
          <w:sz w:val="20"/>
          <w:szCs w:val="20"/>
          <w:lang w:eastAsia="en-US"/>
        </w:rPr>
        <w:t xml:space="preserve"> руб.</w:t>
      </w:r>
      <w:r>
        <w:rPr>
          <w:sz w:val="20"/>
          <w:szCs w:val="20"/>
          <w:lang w:eastAsia="en-US"/>
        </w:rPr>
      </w:r>
      <w:r>
        <w:rPr>
          <w:sz w:val="20"/>
          <w:szCs w:val="20"/>
          <w:highlight w:val="none"/>
          <w:lang w:eastAsia="en-US"/>
        </w:rPr>
      </w:r>
    </w:p>
    <w:p>
      <w:pPr>
        <w:ind w:firstLine="142"/>
        <w:jc w:val="both"/>
        <w:widowControl w:val="off"/>
        <w:rPr>
          <w:sz w:val="20"/>
          <w:szCs w:val="20"/>
          <w:lang w:eastAsia="en-US"/>
        </w:rPr>
      </w:pPr>
      <w:r>
        <w:rPr>
          <w:sz w:val="20"/>
          <w:szCs w:val="20"/>
          <w:highlight w:val="none"/>
          <w:lang w:eastAsia="en-US"/>
        </w:rPr>
        <w:t xml:space="preserve">4.1. Общая цена договора: 19 996 800,00 руб.</w:t>
      </w:r>
      <w:r>
        <w:rPr>
          <w:sz w:val="20"/>
          <w:szCs w:val="20"/>
          <w:highlight w:val="none"/>
          <w:lang w:eastAsia="en-US"/>
        </w:rPr>
      </w:r>
    </w:p>
    <w:p>
      <w:pPr>
        <w:pStyle w:val="920"/>
        <w:ind w:firstLine="142"/>
        <w:jc w:val="both"/>
        <w:widowControl w:val="off"/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  <w:t xml:space="preserve">5. Комиссия правомочна осуществлять </w:t>
      </w:r>
      <w:r>
        <w:rPr>
          <w:sz w:val="20"/>
          <w:szCs w:val="20"/>
          <w:lang w:val="en-US" w:eastAsia="en-US"/>
        </w:rPr>
        <w:t xml:space="preserve">свои функции, т.к. на заседа</w:t>
      </w:r>
      <w:r>
        <w:rPr>
          <w:sz w:val="20"/>
          <w:szCs w:val="20"/>
          <w:lang w:val="en-US" w:eastAsia="en-US"/>
        </w:rPr>
        <w:t xml:space="preserve">нии комиссии присутствует не менее чем пятьдесят процентов общего числа ее</w:t>
      </w:r>
      <w:r>
        <w:rPr>
          <w:sz w:val="20"/>
          <w:szCs w:val="20"/>
          <w:lang w:val="en-US" w:eastAsia="en-US"/>
        </w:rPr>
        <w:t xml:space="preserve"> члено</w:t>
      </w:r>
      <w:r>
        <w:rPr>
          <w:sz w:val="20"/>
          <w:szCs w:val="20"/>
          <w:lang w:val="en-US" w:eastAsia="en-US"/>
        </w:rPr>
        <w:t xml:space="preserve">в.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20"/>
        <w:ind w:firstLine="142"/>
        <w:jc w:val="both"/>
        <w:widowControl w:val="off"/>
        <w:rPr>
          <w:sz w:val="20"/>
          <w:szCs w:val="20"/>
          <w:lang w:eastAsia="en-US"/>
        </w:rPr>
      </w:pPr>
      <w:r>
        <w:rPr>
          <w:sz w:val="20"/>
          <w:szCs w:val="20"/>
          <w:lang w:val="en-US" w:eastAsia="en-US"/>
        </w:rPr>
        <w:t xml:space="preserve">6. </w:t>
      </w:r>
      <w:r>
        <w:rPr>
          <w:sz w:val="20"/>
          <w:szCs w:val="20"/>
          <w:lang w:eastAsia="en-US"/>
        </w:rPr>
        <w:t xml:space="preserve">Процедура рассмотрения, оценки и сопоставления предложений н</w:t>
      </w:r>
      <w:r>
        <w:rPr>
          <w:sz w:val="20"/>
          <w:szCs w:val="20"/>
          <w:lang w:eastAsia="en-US"/>
        </w:rPr>
        <w:t xml:space="preserve">а участие в конкурентном отборе проводилась комиссией </w:t>
      </w:r>
      <w:r>
        <w:rPr>
          <w:sz w:val="20"/>
          <w:szCs w:val="20"/>
          <w:lang w:eastAsia="en-US"/>
        </w:rPr>
        <w:t xml:space="preserve">в период с </w:t>
      </w:r>
      <w:r>
        <w:rPr>
          <w:sz w:val="20"/>
          <w:szCs w:val="20"/>
          <w:lang w:val="tt-RU" w:eastAsia="en-US"/>
        </w:rPr>
        <w:t xml:space="preserve">09</w:t>
      </w:r>
      <w:r>
        <w:rPr>
          <w:sz w:val="20"/>
          <w:szCs w:val="20"/>
          <w:lang w:eastAsia="en-US"/>
        </w:rPr>
        <w:t xml:space="preserve"> часов </w:t>
      </w:r>
      <w:r>
        <w:rPr>
          <w:sz w:val="20"/>
          <w:szCs w:val="20"/>
          <w:lang w:val="tt-RU" w:eastAsia="en-US"/>
        </w:rPr>
        <w:t xml:space="preserve">0</w:t>
      </w:r>
      <w:r>
        <w:rPr>
          <w:sz w:val="20"/>
          <w:szCs w:val="20"/>
          <w:lang w:eastAsia="en-US"/>
        </w:rPr>
        <w:t xml:space="preserve">0</w:t>
      </w:r>
      <w:r>
        <w:rPr>
          <w:sz w:val="20"/>
          <w:szCs w:val="20"/>
          <w:lang w:eastAsia="en-US"/>
        </w:rPr>
        <w:t xml:space="preserve"> мин</w:t>
      </w:r>
      <w:r>
        <w:rPr>
          <w:sz w:val="20"/>
          <w:szCs w:val="20"/>
          <w:lang w:eastAsia="en-US"/>
        </w:rPr>
        <w:t xml:space="preserve">ут</w:t>
      </w:r>
      <w:r>
        <w:rPr>
          <w:sz w:val="20"/>
          <w:szCs w:val="20"/>
          <w:lang w:eastAsia="en-US"/>
        </w:rPr>
        <w:t xml:space="preserve"> «</w:t>
      </w:r>
      <w:r>
        <w:rPr>
          <w:sz w:val="20"/>
          <w:szCs w:val="20"/>
          <w:lang w:eastAsia="en-US"/>
        </w:rPr>
        <w:t xml:space="preserve">04» сентября</w:t>
      </w:r>
      <w:r>
        <w:rPr>
          <w:sz w:val="20"/>
          <w:szCs w:val="20"/>
          <w:lang w:eastAsia="en-US"/>
        </w:rPr>
        <w:t xml:space="preserve"> 2</w:t>
      </w:r>
      <w:r>
        <w:rPr>
          <w:sz w:val="20"/>
          <w:szCs w:val="20"/>
          <w:lang w:eastAsia="en-US"/>
        </w:rPr>
        <w:t xml:space="preserve">0</w:t>
      </w:r>
      <w:r>
        <w:rPr>
          <w:sz w:val="20"/>
          <w:szCs w:val="20"/>
          <w:lang w:val="tt-RU" w:eastAsia="en-US"/>
        </w:rPr>
        <w:t xml:space="preserve">2</w:t>
      </w:r>
      <w:r>
        <w:rPr>
          <w:sz w:val="20"/>
          <w:szCs w:val="20"/>
          <w:lang w:eastAsia="en-US"/>
        </w:rPr>
        <w:t xml:space="preserve">6 года до 14 часов 00 м</w:t>
      </w:r>
      <w:r>
        <w:rPr>
          <w:sz w:val="20"/>
          <w:szCs w:val="20"/>
          <w:lang w:eastAsia="en-US"/>
        </w:rPr>
        <w:t xml:space="preserve">инут </w:t>
      </w:r>
      <w:r>
        <w:rPr>
          <w:sz w:val="20"/>
          <w:szCs w:val="20"/>
          <w:lang w:eastAsia="en-US"/>
        </w:rPr>
        <w:t xml:space="preserve">«</w:t>
      </w:r>
      <w:r>
        <w:rPr>
          <w:sz w:val="20"/>
          <w:szCs w:val="20"/>
          <w:lang w:eastAsia="en-US"/>
        </w:rPr>
        <w:t xml:space="preserve">07» </w:t>
      </w:r>
      <w:r>
        <w:rPr>
          <w:sz w:val="20"/>
          <w:szCs w:val="20"/>
          <w:lang w:eastAsia="en-US"/>
        </w:rPr>
        <w:t xml:space="preserve">сентября 202</w:t>
      </w:r>
      <w:r>
        <w:rPr>
          <w:sz w:val="20"/>
          <w:szCs w:val="20"/>
          <w:lang w:eastAsia="en-US"/>
        </w:rPr>
        <w:t xml:space="preserve">6 года </w:t>
      </w:r>
      <w:r>
        <w:rPr>
          <w:sz w:val="20"/>
          <w:szCs w:val="20"/>
          <w:lang w:eastAsia="en-US"/>
        </w:rPr>
        <w:t xml:space="preserve">по адресу: </w:t>
      </w:r>
      <w:r>
        <w:rPr>
          <w:sz w:val="20"/>
          <w:szCs w:val="20"/>
          <w:lang w:eastAsia="en-US"/>
        </w:rPr>
        <w:t xml:space="preserve">Электронная Торговая Система Etpzakupki.tatar </w:t>
      </w:r>
      <w:r>
        <w:rPr>
          <w:sz w:val="20"/>
          <w:szCs w:val="20"/>
          <w:lang w:eastAsia="en-US"/>
        </w:rPr>
        <w:fldChar w:fldCharType="begin"/>
      </w:r>
      <w:r>
        <w:rPr>
          <w:sz w:val="20"/>
          <w:szCs w:val="20"/>
          <w:lang w:eastAsia="en-US"/>
        </w:rPr>
        <w:instrText xml:space="preserve"> HYPERLINK "http://etpzakupki.tatar" </w:instrText>
      </w:r>
      <w:r>
        <w:rPr>
          <w:sz w:val="20"/>
          <w:szCs w:val="20"/>
          <w:lang w:eastAsia="en-US"/>
        </w:rPr>
        <w:fldChar w:fldCharType="separate"/>
      </w:r>
      <w:r>
        <w:rPr>
          <w:rStyle w:val="945"/>
          <w:color w:val="000000"/>
          <w:sz w:val="20"/>
          <w:szCs w:val="20"/>
          <w:u w:val="none"/>
          <w:lang w:eastAsia="en-US"/>
        </w:rPr>
        <w:t xml:space="preserve">http://etpza</w:t>
      </w:r>
      <w:r>
        <w:rPr>
          <w:rStyle w:val="945"/>
          <w:color w:val="000000"/>
          <w:sz w:val="20"/>
          <w:szCs w:val="20"/>
          <w:u w:val="none"/>
          <w:lang w:eastAsia="en-US"/>
        </w:rPr>
        <w:t xml:space="preserve">kupki.tatar</w:t>
      </w:r>
      <w:r>
        <w:rPr>
          <w:sz w:val="20"/>
          <w:szCs w:val="20"/>
          <w:lang w:eastAsia="en-US"/>
        </w:rPr>
        <w:fldChar w:fldCharType="end"/>
      </w:r>
      <w:r>
        <w:rPr>
          <w:sz w:val="20"/>
          <w:szCs w:val="20"/>
          <w:lang w:eastAsia="en-US"/>
        </w:rPr>
        <w:t xml:space="preserve">.</w:t>
      </w:r>
      <w:r>
        <w:rPr>
          <w:sz w:val="20"/>
          <w:szCs w:val="20"/>
          <w:lang w:eastAsia="en-US"/>
        </w:rPr>
      </w:r>
      <w:r>
        <w:rPr>
          <w:sz w:val="20"/>
          <w:szCs w:val="20"/>
          <w:lang w:eastAsia="en-US"/>
        </w:rPr>
      </w:r>
    </w:p>
    <w:p>
      <w:pPr>
        <w:pStyle w:val="920"/>
        <w:ind w:firstLine="142"/>
        <w:jc w:val="both"/>
        <w:widowControl w:val="off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 xml:space="preserve">7. Для участия в конкурентном отборе было подано 5 (пять) </w:t>
      </w:r>
      <w:r>
        <w:rPr>
          <w:bCs/>
          <w:sz w:val="20"/>
          <w:szCs w:val="20"/>
          <w:lang w:eastAsia="en-US"/>
        </w:rPr>
        <w:t xml:space="preserve">предложен</w:t>
      </w:r>
      <w:r>
        <w:rPr>
          <w:bCs/>
          <w:sz w:val="20"/>
          <w:szCs w:val="20"/>
          <w:lang w:eastAsia="en-US"/>
        </w:rPr>
        <w:t xml:space="preserve">ий:</w:t>
      </w:r>
      <w:r>
        <w:rPr>
          <w:bCs/>
          <w:sz w:val="20"/>
          <w:szCs w:val="20"/>
          <w:lang w:eastAsia="en-US"/>
        </w:rPr>
      </w:r>
      <w:r>
        <w:rPr>
          <w:bCs/>
          <w:sz w:val="20"/>
          <w:szCs w:val="20"/>
          <w:lang w:eastAsia="en-US"/>
        </w:rPr>
      </w:r>
    </w:p>
    <w:tbl>
      <w:tblPr>
        <w:tblW w:w="10923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2609"/>
        <w:gridCol w:w="4563"/>
        <w:gridCol w:w="304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9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п/п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2609" w:type="dxa"/>
            <w:vAlign w:val="center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Номер заявки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4563" w:type="dxa"/>
            <w:vAlign w:val="center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участника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042" w:type="dxa"/>
            <w:vAlign w:val="center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Дата и время регистрации заявки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2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2609" w:type="dxa"/>
            <w:vAlign w:val="center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16032</w:t>
            </w:r>
            <w:r>
              <w:rPr>
                <w:sz w:val="18"/>
                <w:szCs w:val="18"/>
              </w:rPr>
            </w:r>
          </w:p>
        </w:tc>
        <w:tc>
          <w:tcPr>
            <w:tcW w:w="4563" w:type="dxa"/>
            <w:vAlign w:val="center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ООО «СТ»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042" w:type="dxa"/>
            <w:vAlign w:val="center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03.09.2026 13:02:35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13"/>
        </w:trPr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2609" w:type="dxa"/>
            <w:vAlign w:val="center"/>
            <w:textDirection w:val="lrTb"/>
            <w:noWrap w:val="false"/>
          </w:tcPr>
          <w:p>
            <w:pPr>
              <w:pStyle w:val="920"/>
              <w:ind w:right="-108"/>
              <w:jc w:val="center"/>
              <w:rPr>
                <w:sz w:val="18"/>
                <w:szCs w:val="18"/>
                <w:lang w:val="tt-RU"/>
              </w:rPr>
            </w:pPr>
            <w:r>
              <w:rPr>
                <w:sz w:val="18"/>
                <w:szCs w:val="18"/>
                <w:lang w:val="tt-RU"/>
              </w:rPr>
              <w:t xml:space="preserve">16033</w:t>
            </w:r>
            <w:r>
              <w:rPr>
                <w:sz w:val="18"/>
                <w:szCs w:val="18"/>
                <w:lang w:val="tt-RU"/>
              </w:rPr>
            </w:r>
            <w:r>
              <w:rPr>
                <w:sz w:val="18"/>
                <w:szCs w:val="18"/>
                <w:lang w:val="tt-RU"/>
              </w:rPr>
            </w:r>
          </w:p>
        </w:tc>
        <w:tc>
          <w:tcPr>
            <w:tcW w:w="4563" w:type="dxa"/>
            <w:vAlign w:val="center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«</w:t>
            </w:r>
            <w:r>
              <w:rPr>
                <w:sz w:val="18"/>
                <w:szCs w:val="18"/>
              </w:rPr>
              <w:t xml:space="preserve">АВТО ТРЕЙД ПРЕМИУМ</w:t>
            </w:r>
            <w:r>
              <w:rPr>
                <w:sz w:val="18"/>
                <w:szCs w:val="18"/>
              </w:rPr>
              <w:t xml:space="preserve">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042" w:type="dxa"/>
            <w:vAlign w:val="center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03.09.2026 20:09:13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213"/>
        </w:trPr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>
              <w:rPr>
                <w:sz w:val="18"/>
                <w:szCs w:val="18"/>
              </w:rPr>
            </w:r>
          </w:p>
        </w:tc>
        <w:tc>
          <w:tcPr>
            <w:tcW w:w="2609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right="-108"/>
              <w:jc w:val="center"/>
              <w:rPr>
                <w:sz w:val="18"/>
                <w:szCs w:val="18"/>
                <w:lang w:val="tt-RU"/>
              </w:rPr>
            </w:pPr>
            <w:r>
              <w:rPr>
                <w:sz w:val="18"/>
                <w:szCs w:val="18"/>
                <w:lang w:val="tt-RU"/>
              </w:rPr>
              <w:t xml:space="preserve">16035</w:t>
            </w:r>
            <w:r>
              <w:rPr>
                <w:sz w:val="18"/>
                <w:szCs w:val="18"/>
                <w:lang w:val="tt-RU"/>
              </w:rPr>
            </w:r>
          </w:p>
        </w:tc>
        <w:tc>
          <w:tcPr>
            <w:tcW w:w="4563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 </w:t>
            </w:r>
            <w:r>
              <w:rPr>
                <w:sz w:val="18"/>
                <w:szCs w:val="18"/>
              </w:rPr>
              <w:t xml:space="preserve">Хайруллин Руслан Альбертович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042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03.09.2026 20:53:34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213"/>
        </w:trPr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  <w:r>
              <w:rPr>
                <w:sz w:val="18"/>
                <w:szCs w:val="18"/>
              </w:rPr>
            </w:r>
          </w:p>
        </w:tc>
        <w:tc>
          <w:tcPr>
            <w:tcW w:w="2609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right="-108"/>
              <w:jc w:val="center"/>
              <w:rPr>
                <w:sz w:val="18"/>
                <w:szCs w:val="18"/>
                <w:lang w:val="tt-RU"/>
              </w:rPr>
            </w:pPr>
            <w:r>
              <w:rPr>
                <w:sz w:val="18"/>
                <w:szCs w:val="18"/>
                <w:lang w:val="tt-RU"/>
              </w:rPr>
              <w:t xml:space="preserve">16036</w:t>
            </w:r>
            <w:r>
              <w:rPr>
                <w:sz w:val="18"/>
                <w:szCs w:val="18"/>
                <w:lang w:val="tt-RU"/>
              </w:rPr>
            </w:r>
          </w:p>
        </w:tc>
        <w:tc>
          <w:tcPr>
            <w:tcW w:w="4563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АО «АВАНГАРД»</w:t>
            </w:r>
            <w:r>
              <w:rPr>
                <w:sz w:val="18"/>
                <w:szCs w:val="18"/>
              </w:rPr>
            </w:r>
          </w:p>
        </w:tc>
        <w:tc>
          <w:tcPr>
            <w:tcW w:w="3042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03.09.2026 22:03:42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/>
        <w:trPr>
          <w:trHeight w:val="213"/>
        </w:trPr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  <w:r>
              <w:rPr>
                <w:sz w:val="18"/>
                <w:szCs w:val="18"/>
              </w:rPr>
            </w:r>
          </w:p>
        </w:tc>
        <w:tc>
          <w:tcPr>
            <w:tcW w:w="2609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right="-108"/>
              <w:jc w:val="center"/>
              <w:rPr>
                <w:sz w:val="18"/>
                <w:szCs w:val="18"/>
                <w:lang w:val="tt-RU"/>
              </w:rPr>
            </w:pPr>
            <w:r>
              <w:rPr>
                <w:sz w:val="18"/>
                <w:szCs w:val="18"/>
                <w:lang w:val="tt-RU"/>
              </w:rPr>
              <w:t xml:space="preserve">16037</w:t>
            </w:r>
            <w:r>
              <w:rPr>
                <w:sz w:val="18"/>
                <w:szCs w:val="18"/>
                <w:lang w:val="tt-RU"/>
              </w:rPr>
            </w:r>
          </w:p>
        </w:tc>
        <w:tc>
          <w:tcPr>
            <w:tcW w:w="4563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 </w:t>
            </w:r>
            <w:r>
              <w:rPr>
                <w:sz w:val="18"/>
                <w:szCs w:val="18"/>
              </w:rPr>
              <w:t xml:space="preserve">Хакимов Айрат Мансурович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3042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03.09.2026 22:50:56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</w:tbl>
    <w:p>
      <w:pPr>
        <w:pStyle w:val="920"/>
        <w:jc w:val="both"/>
        <w:widowControl w:val="off"/>
        <w:rPr>
          <w:bCs/>
          <w:sz w:val="20"/>
          <w:szCs w:val="20"/>
          <w:lang w:eastAsia="en-US"/>
        </w:rPr>
      </w:pPr>
      <w:r>
        <w:rPr>
          <w:bCs/>
          <w:sz w:val="20"/>
          <w:szCs w:val="20"/>
          <w:lang w:eastAsia="en-US"/>
        </w:rPr>
        <w:t xml:space="preserve">   </w:t>
      </w:r>
      <w:r>
        <w:rPr>
          <w:bCs/>
          <w:sz w:val="20"/>
          <w:szCs w:val="20"/>
          <w:lang w:eastAsia="en-US"/>
        </w:rPr>
        <w:t xml:space="preserve">8. Комиссия уполномоченного органа рассмотрела</w:t>
      </w:r>
      <w:r>
        <w:rPr>
          <w:bCs/>
          <w:sz w:val="20"/>
          <w:szCs w:val="20"/>
          <w:lang w:eastAsia="en-US"/>
        </w:rPr>
        <w:t xml:space="preserve"> п</w:t>
      </w:r>
      <w:r>
        <w:rPr>
          <w:bCs/>
          <w:sz w:val="20"/>
          <w:szCs w:val="20"/>
          <w:lang w:eastAsia="en-US"/>
        </w:rPr>
        <w:t xml:space="preserve">ре</w:t>
      </w:r>
      <w:r>
        <w:rPr>
          <w:bCs/>
          <w:sz w:val="20"/>
          <w:szCs w:val="20"/>
          <w:lang w:eastAsia="en-US"/>
        </w:rPr>
        <w:t xml:space="preserve">дложения на участие в конкурентном отборе на</w:t>
      </w:r>
      <w:r>
        <w:rPr>
          <w:bCs/>
          <w:sz w:val="20"/>
          <w:szCs w:val="20"/>
          <w:lang w:eastAsia="en-US"/>
        </w:rPr>
        <w:t xml:space="preserve"> соответствие требованиям и условиям, </w:t>
      </w:r>
      <w:r>
        <w:rPr>
          <w:bCs/>
          <w:sz w:val="20"/>
          <w:szCs w:val="20"/>
          <w:lang w:eastAsia="en-US"/>
        </w:rPr>
        <w:t xml:space="preserve">установленным в извещении и документации конкурентного отбора,</w:t>
      </w:r>
      <w:r>
        <w:rPr>
          <w:bCs/>
          <w:sz w:val="20"/>
          <w:szCs w:val="20"/>
          <w:lang w:eastAsia="en-US"/>
        </w:rPr>
        <w:t xml:space="preserve"> и приняла решение:</w:t>
      </w:r>
      <w:r>
        <w:rPr>
          <w:bCs/>
          <w:sz w:val="20"/>
          <w:szCs w:val="20"/>
          <w:lang w:eastAsia="en-US"/>
        </w:rPr>
      </w:r>
      <w:r>
        <w:rPr>
          <w:bCs/>
          <w:sz w:val="20"/>
          <w:szCs w:val="20"/>
          <w:lang w:eastAsia="en-US"/>
        </w:rPr>
      </w:r>
    </w:p>
    <w:p>
      <w:pPr>
        <w:pStyle w:val="920"/>
        <w:jc w:val="both"/>
        <w:widowControl w:val="off"/>
        <w:rPr>
          <w:sz w:val="20"/>
          <w:szCs w:val="20"/>
        </w:rPr>
      </w:pPr>
      <w:r>
        <w:rPr>
          <w:bCs/>
          <w:sz w:val="20"/>
          <w:szCs w:val="20"/>
          <w:lang w:eastAsia="en-US"/>
        </w:rPr>
        <w:t xml:space="preserve">   </w:t>
      </w:r>
      <w:r>
        <w:rPr>
          <w:sz w:val="20"/>
          <w:szCs w:val="20"/>
        </w:rPr>
        <w:t xml:space="preserve">8.1. Отклонить предлож</w:t>
      </w:r>
      <w:r>
        <w:rPr>
          <w:sz w:val="20"/>
          <w:szCs w:val="20"/>
        </w:rPr>
        <w:t xml:space="preserve">ения следующих участн</w:t>
      </w:r>
      <w:r>
        <w:rPr>
          <w:sz w:val="20"/>
          <w:szCs w:val="20"/>
        </w:rPr>
        <w:t xml:space="preserve">иков</w:t>
      </w:r>
      <w:r>
        <w:rPr>
          <w:sz w:val="20"/>
          <w:szCs w:val="20"/>
        </w:rPr>
        <w:t xml:space="preserve"> конкурентного отбора: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1093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10"/>
        <w:gridCol w:w="1057"/>
        <w:gridCol w:w="2311"/>
        <w:gridCol w:w="685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0"/>
          <w:tblHeader/>
        </w:trPr>
        <w:tc>
          <w:tcPr>
            <w:tcW w:w="710" w:type="dxa"/>
            <w:vAlign w:val="center"/>
            <w:textDirection w:val="lrTb"/>
            <w:noWrap w:val="false"/>
          </w:tcPr>
          <w:p>
            <w:pPr>
              <w:pStyle w:val="9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п/п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057" w:type="dxa"/>
            <w:vAlign w:val="center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Номер зая</w:t>
            </w:r>
            <w:r>
              <w:rPr>
                <w:sz w:val="18"/>
                <w:szCs w:val="18"/>
              </w:rPr>
              <w:t xml:space="preserve">вк</w:t>
            </w:r>
            <w:r>
              <w:rPr>
                <w:sz w:val="18"/>
                <w:szCs w:val="18"/>
              </w:rPr>
              <w:t xml:space="preserve">и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2311" w:type="dxa"/>
            <w:vAlign w:val="center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Наименование участника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6852" w:type="dxa"/>
            <w:vAlign w:val="center"/>
            <w:textDirection w:val="lrTb"/>
            <w:noWrap w:val="false"/>
          </w:tcPr>
          <w:p>
            <w:pPr>
              <w:pStyle w:val="920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Обоснование принятого решения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026"/>
          <w:tblHeader/>
        </w:trPr>
        <w:tc>
          <w:tcPr>
            <w:tcW w:w="710" w:type="dxa"/>
            <w:vAlign w:val="center"/>
            <w:textDirection w:val="lrTb"/>
            <w:noWrap w:val="false"/>
          </w:tcPr>
          <w:p>
            <w:pPr>
              <w:pStyle w:val="9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057" w:type="dxa"/>
            <w:vAlign w:val="center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16032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2311" w:type="dxa"/>
            <w:vAlign w:val="center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ООО «СТ»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6852" w:type="dxa"/>
            <w:vAlign w:val="center"/>
            <w:textDirection w:val="lrTb"/>
            <w:noWrap w:val="false"/>
          </w:tcPr>
          <w:p>
            <w:pPr>
              <w:pStyle w:val="930"/>
              <w:ind w:firstLine="317"/>
              <w:jc w:val="both"/>
              <w:rPr>
                <w:b w:val="0"/>
                <w:bCs w:val="0"/>
                <w:sz w:val="18"/>
                <w:szCs w:val="18"/>
                <w:lang w:val="tt-RU"/>
              </w:rPr>
            </w:pP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В соответствии с разделом IV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документации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конкурентного отбора комиссия рассматривает и отклоняет предложения участников конкурентного отбора в случаях, если в составе предложения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участников конкурентного отбора не представлены требования, установленные в извещении о проведении конкурентного отбор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а и закупочной документации.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lang w:val="tt-RU"/>
              </w:rPr>
            </w:r>
          </w:p>
          <w:p>
            <w:pPr>
              <w:pStyle w:val="930"/>
              <w:ind w:firstLine="317"/>
              <w:jc w:val="both"/>
              <w:rPr>
                <w:b w:val="0"/>
                <w:sz w:val="18"/>
                <w:szCs w:val="18"/>
                <w:lang w:val="tt-RU"/>
              </w:rPr>
            </w:pPr>
            <w:r>
              <w:rPr>
                <w:b w:val="0"/>
                <w:sz w:val="18"/>
                <w:szCs w:val="18"/>
                <w:lang w:val="tt-RU"/>
              </w:rPr>
              <w:t xml:space="preserve">В составе предложения участника закупки отсутствуют следующие обязательные документы:</w:t>
            </w:r>
            <w:r>
              <w:rPr>
                <w:b w:val="0"/>
                <w:sz w:val="18"/>
                <w:szCs w:val="18"/>
                <w:lang w:val="tt-RU"/>
              </w:rPr>
            </w:r>
            <w:r>
              <w:rPr>
                <w:b w:val="0"/>
                <w:sz w:val="18"/>
                <w:szCs w:val="18"/>
                <w:lang w:val="tt-RU"/>
              </w:rPr>
            </w:r>
          </w:p>
          <w:p>
            <w:pPr>
              <w:pStyle w:val="962"/>
              <w:ind w:left="0" w:right="0" w:firstLine="317"/>
              <w:jc w:val="both"/>
              <w:spacing w:before="0" w:after="0"/>
              <w:widowControl w:val="off"/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  <w14:ligatures w14:val="none"/>
              </w:rPr>
            </w:pP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  <w14:ligatures w14:val="none"/>
              </w:rPr>
              <w:t xml:space="preserve">- </w:t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  <w14:ligatures w14:val="none"/>
              </w:rPr>
              <w:t xml:space="preserve">Копия договора и/или копия полиса страхования гражданской ответственности за причиненный при перевозке вред жизни и здоровью пассажира транспортного средства и/или его имуществу.</w:t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  <w14:ligatures w14:val="none"/>
              </w:rPr>
            </w:r>
          </w:p>
        </w:tc>
      </w:tr>
      <w:tr>
        <w:tblPrEx/>
        <w:trPr>
          <w:trHeight w:val="1026"/>
          <w:tblHeader/>
        </w:trPr>
        <w:tc>
          <w:tcPr>
            <w:tcW w:w="710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057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right="-108"/>
              <w:jc w:val="center"/>
              <w:rPr>
                <w:sz w:val="18"/>
                <w:szCs w:val="18"/>
                <w:lang w:val="tt-RU"/>
              </w:rPr>
            </w:pPr>
            <w:r>
              <w:rPr>
                <w:sz w:val="18"/>
                <w:szCs w:val="18"/>
                <w:lang w:val="tt-RU"/>
              </w:rPr>
              <w:t xml:space="preserve">16033</w:t>
            </w:r>
            <w:r>
              <w:rPr>
                <w:sz w:val="18"/>
                <w:szCs w:val="18"/>
                <w:lang w:val="tt-RU"/>
              </w:rPr>
            </w:r>
            <w:r>
              <w:rPr>
                <w:sz w:val="18"/>
                <w:szCs w:val="18"/>
                <w:lang w:val="tt-RU"/>
              </w:rPr>
            </w:r>
          </w:p>
        </w:tc>
        <w:tc>
          <w:tcPr>
            <w:tcW w:w="2311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«</w:t>
            </w:r>
            <w:r>
              <w:rPr>
                <w:sz w:val="18"/>
                <w:szCs w:val="18"/>
              </w:rPr>
              <w:t xml:space="preserve">АВТО ТРЕЙД ПРЕМИУМ</w:t>
            </w:r>
            <w:r>
              <w:rPr>
                <w:sz w:val="18"/>
                <w:szCs w:val="18"/>
              </w:rPr>
              <w:t xml:space="preserve">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6852" w:type="dxa"/>
            <w:vAlign w:val="center"/>
            <w:vMerge w:val="restart"/>
            <w:textDirection w:val="lrTb"/>
            <w:noWrap w:val="false"/>
          </w:tcPr>
          <w:p>
            <w:pPr>
              <w:pStyle w:val="930"/>
              <w:ind w:firstLine="317"/>
              <w:jc w:val="both"/>
              <w:rPr>
                <w:b w:val="0"/>
                <w:bCs w:val="0"/>
                <w:sz w:val="18"/>
                <w:szCs w:val="18"/>
                <w:lang w:val="tt-RU"/>
              </w:rPr>
            </w:pP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В соответствии с разделом IV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документации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конкурентного отбора комиссия рассматривает и отклоняет предложения участников конкурентного отбора в случаях, если в составе предложения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участников конкурентного отбора не представлены требования, установленные в извещении о проведении конкурентного отбор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а и закупочной документации.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lang w:val="tt-RU"/>
              </w:rPr>
            </w:r>
          </w:p>
          <w:p>
            <w:pPr>
              <w:pStyle w:val="930"/>
              <w:ind w:firstLine="317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lang w:val="tt-RU"/>
              </w:rPr>
              <w:t xml:space="preserve">В составе предложения участника закупки отсутствуют следующие обязательные документы:</w:t>
            </w:r>
            <w:r>
              <w:rPr>
                <w:b w:val="0"/>
                <w:sz w:val="18"/>
                <w:szCs w:val="18"/>
                <w:lang w:val="tt-RU"/>
              </w:rPr>
            </w:r>
            <w:r>
              <w:rPr>
                <w:b w:val="0"/>
                <w:sz w:val="18"/>
                <w:szCs w:val="18"/>
                <w:lang w:val="tt-RU"/>
              </w:rPr>
            </w:r>
          </w:p>
          <w:p>
            <w:pPr>
              <w:pStyle w:val="930"/>
              <w:ind w:firstLine="317"/>
              <w:jc w:val="both"/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- Копия договора на оказание услуг по предрейсовому (послерейсовому) медицинскому осмотру водителей между участником закупки и учреждением здравоохранения, имеющим соответствующую лицензию, с предоставлением копии такой лицензии или выписки из реестра лицензи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й в форме электронного документа, подписанного усиленной квалифицированной электронной подписью лицензирующего органа и составленного по форме, утвержденной постановлением Правительства РФ от 29 декабря 2020г. № 2343 «Об утверждении Правил формирования и ве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дения реестра лицензий и типовой формы выписки из реестра лицензий».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30"/>
              <w:ind w:firstLine="317"/>
              <w:jc w:val="both"/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В случае наличия лицензии у участника закупки – копию лицензии на осуществление предрейсового (послерейсового) медицинских осмотров или выписки из реестра лицензий.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30"/>
              <w:ind w:firstLine="317"/>
              <w:jc w:val="both"/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- Копия договора на оказание услуг по предрейсовому (послерейсовому) техническому осмотру транспортных средств.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30"/>
              <w:ind w:firstLine="317"/>
              <w:jc w:val="both"/>
              <w:rPr>
                <w:b w:val="0"/>
                <w:bCs w:val="0"/>
                <w:sz w:val="18"/>
                <w:szCs w:val="18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В случае наличия у участника закупки в штате аккредитованных механиков – копию трудовой книжки или трудового договора, и копия аттестации в транспортной инспекции.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62"/>
              <w:ind w:left="0" w:right="0" w:firstLine="317"/>
              <w:jc w:val="both"/>
              <w:spacing w:before="0" w:after="0"/>
              <w:widowControl w:val="off"/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  <w14:ligatures w14:val="none"/>
              </w:rPr>
            </w:pP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  <w14:ligatures w14:val="none"/>
              </w:rPr>
              <w:t xml:space="preserve">- </w:t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  <w14:ligatures w14:val="none"/>
              </w:rPr>
              <w:t xml:space="preserve">Копия договора и/или копия полиса страхования гражданской ответственности за причиненный при перевозке вред жизни и здоровью пассажира транспортного средства и/или его имуществу.</w:t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  <w14:ligatures w14:val="none"/>
              </w:rPr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  <w14:ligatures w14:val="none"/>
              </w:rPr>
            </w:r>
          </w:p>
        </w:tc>
      </w:tr>
      <w:tr>
        <w:tblPrEx/>
        <w:trPr>
          <w:trHeight w:val="1026"/>
          <w:tblHeader/>
        </w:trPr>
        <w:tc>
          <w:tcPr>
            <w:tcW w:w="710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057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right="-108"/>
              <w:jc w:val="center"/>
              <w:rPr>
                <w:sz w:val="18"/>
                <w:szCs w:val="18"/>
                <w:lang w:val="tt-RU"/>
              </w:rPr>
            </w:pPr>
            <w:r>
              <w:rPr>
                <w:sz w:val="18"/>
                <w:szCs w:val="18"/>
                <w:lang w:val="tt-RU"/>
              </w:rPr>
              <w:t xml:space="preserve">16035</w:t>
            </w:r>
            <w:r>
              <w:rPr>
                <w:sz w:val="18"/>
                <w:szCs w:val="18"/>
                <w:lang w:val="tt-RU"/>
              </w:rPr>
            </w:r>
            <w:r>
              <w:rPr>
                <w:sz w:val="18"/>
                <w:szCs w:val="18"/>
                <w:lang w:val="tt-RU"/>
              </w:rPr>
            </w:r>
          </w:p>
        </w:tc>
        <w:tc>
          <w:tcPr>
            <w:tcW w:w="2311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 </w:t>
            </w:r>
            <w:r>
              <w:rPr>
                <w:sz w:val="18"/>
                <w:szCs w:val="18"/>
              </w:rPr>
              <w:t xml:space="preserve">Хайруллин Руслан Альбертович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6852" w:type="dxa"/>
            <w:vAlign w:val="center"/>
            <w:vMerge w:val="restart"/>
            <w:textDirection w:val="lrTb"/>
            <w:noWrap w:val="false"/>
          </w:tcPr>
          <w:p>
            <w:pPr>
              <w:pStyle w:val="930"/>
              <w:ind w:firstLine="317"/>
              <w:jc w:val="both"/>
              <w:rPr>
                <w:b w:val="0"/>
                <w:bCs w:val="0"/>
                <w:sz w:val="18"/>
                <w:szCs w:val="18"/>
                <w:lang w:val="tt-RU"/>
              </w:rPr>
            </w:pP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В соответствии с разделом IV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документации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конкурентного отбора комиссия рассматривает и отклоняет предложения участников конкурентного отбора в случаях, если в составе предложения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участников конкурентного отбора не представлены требования, установленные в извещении о проведении конкурентного отбор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а и закупочной документации.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lang w:val="tt-RU"/>
              </w:rPr>
            </w:r>
          </w:p>
          <w:p>
            <w:pPr>
              <w:pStyle w:val="930"/>
              <w:ind w:firstLine="317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lang w:val="tt-RU"/>
              </w:rPr>
              <w:t xml:space="preserve">В составе предложения участника закупки отсутствуют следующие обязательные документы: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30"/>
              <w:ind w:firstLine="317"/>
              <w:jc w:val="both"/>
              <w:rPr>
                <w:b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Копия договора на оказание услуг по предрейсовому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(послерейсовому)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техническому осмотру транспортных средств.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62"/>
              <w:ind w:left="0" w:right="0" w:firstLine="317"/>
              <w:jc w:val="both"/>
              <w:spacing w:before="0" w:after="0"/>
              <w:widowControl w:val="off"/>
              <w:tabs>
                <w:tab w:val="clear" w:pos="0" w:leader="none"/>
                <w:tab w:val="clear" w:pos="708" w:leader="none"/>
              </w:tabs>
              <w:rPr>
                <w:rFonts w:eastAsia="Times New Roman" w:cs="Times New Roman"/>
                <w:b w:val="0"/>
                <w:bCs w:val="0"/>
                <w:sz w:val="18"/>
                <w:szCs w:val="18"/>
                <w:highlight w:val="none"/>
                <w:shd w:val="clear" w:color="auto" w:fill="auto"/>
                <w:lang w:val="tt-RU" w:eastAsia="ru-RU" w:bidi="ar-SA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В случае наличия у участника закупки в штате аккредитованных механиков – копию трудовой книжки или трудового договора, и копия аттестации в транспортной инспекции.</w:t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highlight w:val="none"/>
                <w:shd w:val="clear" w:color="auto" w:fill="auto"/>
                <w:lang w:val="tt-RU" w:eastAsia="ru-RU" w:bidi="ar-SA"/>
              </w:rPr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highlight w:val="none"/>
                <w:shd w:val="clear" w:color="auto" w:fill="auto"/>
                <w:lang w:val="tt-RU" w:eastAsia="ru-RU" w:bidi="ar-SA"/>
              </w:rPr>
            </w:r>
          </w:p>
          <w:p>
            <w:pPr>
              <w:pStyle w:val="962"/>
              <w:ind w:left="0" w:right="0" w:firstLine="317"/>
              <w:jc w:val="both"/>
              <w:spacing w:before="0" w:after="0"/>
              <w:widowControl w:val="off"/>
              <w:tabs>
                <w:tab w:val="clear" w:pos="0" w:leader="none"/>
                <w:tab w:val="clear" w:pos="708" w:leader="none"/>
              </w:tabs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highlight w:val="none"/>
                <w:shd w:val="clear" w:color="auto" w:fill="auto"/>
                <w:lang w:val="tt-RU" w:eastAsia="ru-RU" w:bidi="ar-SA"/>
              </w:rPr>
            </w:r>
            <w:r>
              <w:rPr>
                <w:b w:val="0"/>
                <w:sz w:val="18"/>
                <w:szCs w:val="18"/>
                <w:lang w:val="tt-RU"/>
              </w:rPr>
              <w:t xml:space="preserve">В составе предложения участника </w:t>
            </w:r>
            <w:r>
              <w:rPr>
                <w:b w:val="0"/>
                <w:sz w:val="18"/>
                <w:szCs w:val="18"/>
                <w:lang w:val="tt-RU"/>
              </w:rPr>
              <w:t xml:space="preserve">закупки пред</w:t>
            </w:r>
            <w:r>
              <w:rPr>
                <w:b w:val="0"/>
                <w:sz w:val="18"/>
                <w:szCs w:val="18"/>
                <w:lang w:val="tt-RU"/>
              </w:rPr>
              <w:t xml:space="preserve">ставлены </w:t>
            </w:r>
            <w:r>
              <w:rPr>
                <w:b w:val="0"/>
                <w:sz w:val="18"/>
                <w:szCs w:val="18"/>
                <w:lang w:val="tt-RU"/>
              </w:rPr>
              <w:t xml:space="preserve">д</w:t>
            </w:r>
            <w:r>
              <w:rPr>
                <w:b w:val="0"/>
                <w:sz w:val="18"/>
                <w:szCs w:val="18"/>
                <w:lang w:val="tt-RU"/>
              </w:rPr>
              <w:t xml:space="preserve">оговоры </w:t>
            </w:r>
            <w:r>
              <w:rPr>
                <w:b w:val="0"/>
                <w:sz w:val="18"/>
                <w:szCs w:val="18"/>
                <w:lang w:val="tt-RU"/>
              </w:rPr>
              <w:t xml:space="preserve">№ 01/06 МТК-2026, № 587-2026</w:t>
            </w:r>
            <w:r/>
            <w:r>
              <w:rPr>
                <w:b w:val="0"/>
                <w:sz w:val="18"/>
                <w:szCs w:val="18"/>
                <w:lang w:val="tt-RU"/>
              </w:rPr>
              <w:t xml:space="preserve"> об оказании </w:t>
            </w:r>
            <w:r>
              <w:rPr>
                <w:b w:val="0"/>
                <w:sz w:val="18"/>
                <w:szCs w:val="18"/>
                <w:lang w:val="tt-RU"/>
              </w:rPr>
              <w:t xml:space="preserve">услуг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по предрейсовому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техническому осмотру транспортных средств.</w:t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</w:rPr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</w:rPr>
            </w:r>
          </w:p>
        </w:tc>
      </w:tr>
      <w:tr>
        <w:tblPrEx/>
        <w:trPr>
          <w:trHeight w:val="1026"/>
          <w:tblHeader/>
        </w:trPr>
        <w:tc>
          <w:tcPr>
            <w:tcW w:w="710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057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right="-108"/>
              <w:jc w:val="center"/>
              <w:rPr>
                <w:sz w:val="18"/>
                <w:szCs w:val="18"/>
                <w:lang w:val="tt-RU"/>
              </w:rPr>
            </w:pPr>
            <w:r>
              <w:rPr>
                <w:sz w:val="18"/>
                <w:szCs w:val="18"/>
                <w:lang w:val="tt-RU"/>
              </w:rPr>
              <w:t xml:space="preserve">16036</w:t>
            </w:r>
            <w:r>
              <w:rPr>
                <w:sz w:val="18"/>
                <w:szCs w:val="18"/>
                <w:lang w:val="tt-RU"/>
              </w:rPr>
            </w:r>
            <w:r>
              <w:rPr>
                <w:sz w:val="18"/>
                <w:szCs w:val="18"/>
                <w:lang w:val="tt-RU"/>
              </w:rPr>
            </w:r>
          </w:p>
        </w:tc>
        <w:tc>
          <w:tcPr>
            <w:tcW w:w="2311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АО «АВАНГАРД»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6852" w:type="dxa"/>
            <w:vAlign w:val="center"/>
            <w:vMerge w:val="restart"/>
            <w:textDirection w:val="lrTb"/>
            <w:noWrap w:val="false"/>
          </w:tcPr>
          <w:p>
            <w:pPr>
              <w:pStyle w:val="930"/>
              <w:ind w:firstLine="317"/>
              <w:jc w:val="both"/>
              <w:rPr>
                <w:b w:val="0"/>
                <w:bCs w:val="0"/>
                <w:sz w:val="18"/>
                <w:szCs w:val="18"/>
                <w:lang w:val="tt-RU"/>
              </w:rPr>
            </w:pP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В соответствии с разделом IV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документации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конкурентного отбора комиссия рассматривает и отклоняет предложения участников конкурентного отбора в случаях, если в составе предложения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участников конкурентного отбора не представлены требования, установленные в извещении о проведении конкурентного отбор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а и закупочной документации.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lang w:val="tt-RU"/>
              </w:rPr>
            </w:r>
          </w:p>
          <w:p>
            <w:pPr>
              <w:pStyle w:val="930"/>
              <w:ind w:firstLine="317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lang w:val="tt-RU"/>
              </w:rPr>
              <w:t xml:space="preserve">В составе предложения участника закупки отсутствуют следующие обязательные документы: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30"/>
              <w:ind w:firstLine="317"/>
              <w:jc w:val="both"/>
              <w:rPr>
                <w:b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Копия договора на оказание услуг по предрейсовому 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(послерейсовому)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  <w:t xml:space="preserve"> 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техническому осмотру транспортных средств.</w:t>
            </w:r>
            <w:r/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62"/>
              <w:ind w:left="0" w:right="0" w:firstLine="317"/>
              <w:jc w:val="both"/>
              <w:spacing w:before="0" w:after="0"/>
              <w:widowControl w:val="off"/>
              <w:tabs>
                <w:tab w:val="clear" w:pos="0" w:leader="none"/>
                <w:tab w:val="clear" w:pos="708" w:leader="none"/>
              </w:tabs>
              <w:rPr>
                <w:rFonts w:eastAsia="Times New Roman" w:cs="Times New Roman"/>
                <w:b w:val="0"/>
                <w:bCs w:val="0"/>
                <w:sz w:val="18"/>
                <w:szCs w:val="18"/>
                <w:highlight w:val="none"/>
                <w:shd w:val="clear" w:color="auto" w:fill="auto"/>
                <w:lang w:val="tt-RU" w:eastAsia="ru-RU" w:bidi="ar-SA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В случае наличия у участника закупки в штате аккредитованных механиков – копию трудовой книжки или трудового договора, и копия аттестации в транспортной инспекции.</w:t>
            </w:r>
            <w:r/>
            <w:r>
              <w:rPr>
                <w:b w:val="0"/>
                <w:bCs w:val="0"/>
                <w:sz w:val="18"/>
                <w:szCs w:val="18"/>
                <w:lang w:val="tt-RU"/>
              </w:rPr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shd w:val="clear" w:color="auto" w:fill="auto"/>
                <w:lang w:val="tt-RU" w:eastAsia="ru-RU" w:bidi="ar-SA"/>
              </w:rPr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shd w:val="clear" w:color="auto" w:fill="auto"/>
                <w:lang w:val="tt-RU" w:eastAsia="ru-RU" w:bidi="ar-SA"/>
              </w:rPr>
            </w:r>
          </w:p>
          <w:p>
            <w:pPr>
              <w:pStyle w:val="962"/>
              <w:ind w:left="0" w:right="0" w:firstLine="317"/>
              <w:jc w:val="both"/>
              <w:spacing w:before="0" w:after="0"/>
              <w:widowControl w:val="off"/>
              <w:tabs>
                <w:tab w:val="clear" w:pos="0" w:leader="none"/>
                <w:tab w:val="clear" w:pos="708" w:leader="none"/>
              </w:tabs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</w:rPr>
            </w:pP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highlight w:val="none"/>
                <w:shd w:val="clear" w:color="auto" w:fill="auto"/>
                <w:lang w:val="tt-RU" w:eastAsia="ru-RU" w:bidi="ar-SA"/>
              </w:rPr>
            </w:r>
            <w:r>
              <w:rPr>
                <w:b w:val="0"/>
                <w:sz w:val="18"/>
                <w:szCs w:val="18"/>
                <w:lang w:val="tt-RU"/>
              </w:rPr>
              <w:t xml:space="preserve">В составе предложения участника </w:t>
            </w:r>
            <w:r>
              <w:rPr>
                <w:b w:val="0"/>
                <w:sz w:val="18"/>
                <w:szCs w:val="18"/>
                <w:lang w:val="tt-RU"/>
              </w:rPr>
              <w:t xml:space="preserve">закупки пред</w:t>
            </w:r>
            <w:r>
              <w:rPr>
                <w:b w:val="0"/>
                <w:sz w:val="18"/>
                <w:szCs w:val="18"/>
                <w:lang w:val="tt-RU"/>
              </w:rPr>
              <w:t xml:space="preserve">ставлен </w:t>
            </w:r>
            <w:r>
              <w:rPr>
                <w:b w:val="0"/>
                <w:sz w:val="18"/>
                <w:szCs w:val="18"/>
                <w:lang w:val="tt-RU"/>
              </w:rPr>
              <w:t xml:space="preserve">д</w:t>
            </w:r>
            <w:r>
              <w:rPr>
                <w:b w:val="0"/>
                <w:sz w:val="18"/>
                <w:szCs w:val="18"/>
                <w:lang w:val="tt-RU"/>
              </w:rPr>
              <w:t xml:space="preserve">оговор </w:t>
            </w:r>
            <w:r>
              <w:rPr>
                <w:b w:val="0"/>
                <w:sz w:val="18"/>
                <w:szCs w:val="18"/>
                <w:lang w:val="tt-RU"/>
              </w:rPr>
              <w:t xml:space="preserve">№ 01/09 ТО-2026</w:t>
            </w:r>
            <w:r/>
            <w:r>
              <w:rPr>
                <w:b w:val="0"/>
                <w:sz w:val="18"/>
                <w:szCs w:val="18"/>
                <w:lang w:val="tt-RU"/>
              </w:rPr>
              <w:t xml:space="preserve"> об оказании </w:t>
            </w:r>
            <w:r>
              <w:rPr>
                <w:b w:val="0"/>
                <w:sz w:val="18"/>
                <w:szCs w:val="18"/>
                <w:lang w:val="tt-RU"/>
              </w:rPr>
              <w:t xml:space="preserve">услуг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по предрейсовому 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техническому осмотру транспортных средств.</w:t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highlight w:val="none"/>
                <w:shd w:val="clear" w:color="auto" w:fill="auto"/>
                <w:lang w:val="tt-RU" w:eastAsia="ru-RU" w:bidi="ar-SA"/>
              </w:rPr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highlight w:val="none"/>
                <w:shd w:val="clear" w:color="auto" w:fill="auto"/>
                <w:lang w:val="tt-RU" w:eastAsia="ru-RU" w:bidi="ar-SA"/>
              </w:rPr>
            </w:r>
          </w:p>
        </w:tc>
      </w:tr>
      <w:tr>
        <w:tblPrEx/>
        <w:trPr>
          <w:trHeight w:val="1026"/>
          <w:tblHeader/>
        </w:trPr>
        <w:tc>
          <w:tcPr>
            <w:tcW w:w="710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1057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right="-108"/>
              <w:jc w:val="center"/>
              <w:rPr>
                <w:sz w:val="18"/>
                <w:szCs w:val="18"/>
                <w:lang w:val="tt-RU"/>
              </w:rPr>
            </w:pPr>
            <w:r>
              <w:rPr>
                <w:sz w:val="18"/>
                <w:szCs w:val="18"/>
                <w:lang w:val="tt-RU"/>
              </w:rPr>
              <w:t xml:space="preserve">16037</w:t>
            </w:r>
            <w:r>
              <w:rPr>
                <w:sz w:val="18"/>
                <w:szCs w:val="18"/>
                <w:lang w:val="tt-RU"/>
              </w:rPr>
            </w:r>
            <w:r>
              <w:rPr>
                <w:sz w:val="18"/>
                <w:szCs w:val="18"/>
                <w:lang w:val="tt-RU"/>
              </w:rPr>
            </w:r>
          </w:p>
        </w:tc>
        <w:tc>
          <w:tcPr>
            <w:tcW w:w="2311" w:type="dxa"/>
            <w:vAlign w:val="center"/>
            <w:vMerge w:val="restart"/>
            <w:textDirection w:val="lrTb"/>
            <w:noWrap w:val="false"/>
          </w:tcPr>
          <w:p>
            <w:pPr>
              <w:pStyle w:val="920"/>
              <w:ind w:left="-108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 </w:t>
            </w:r>
            <w:r>
              <w:rPr>
                <w:sz w:val="18"/>
                <w:szCs w:val="18"/>
              </w:rPr>
              <w:t xml:space="preserve">Хакимов Айрат Мансурович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W w:w="6852" w:type="dxa"/>
            <w:vAlign w:val="center"/>
            <w:vMerge w:val="restart"/>
            <w:textDirection w:val="lrTb"/>
            <w:noWrap w:val="false"/>
          </w:tcPr>
          <w:p>
            <w:pPr>
              <w:pStyle w:val="930"/>
              <w:ind w:firstLine="317"/>
              <w:jc w:val="both"/>
              <w:rPr>
                <w:b w:val="0"/>
                <w:bCs w:val="0"/>
                <w:sz w:val="18"/>
                <w:szCs w:val="18"/>
                <w:lang w:val="tt-RU"/>
              </w:rPr>
            </w:pP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В соответствии с разделом IV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документации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конкурентного отбора комиссия рассматривает и отклоняет предложения участников конкурентного отбора в случаях, если в составе предложения 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участников конкурентного отбора не представлены требования, установленные в извещении о проведении конкурентного отбор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  <w:t xml:space="preserve">а и закупочной документации.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lang w:val="tt-RU"/>
              </w:rPr>
            </w:r>
          </w:p>
          <w:p>
            <w:pPr>
              <w:pStyle w:val="930"/>
              <w:ind w:firstLine="317"/>
              <w:jc w:val="both"/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lang w:val="tt-RU"/>
              </w:rPr>
              <w:t xml:space="preserve">В составе предложения участника закупки отсутствуют следующие обязательные документы:</w:t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30"/>
              <w:ind w:firstLine="317"/>
              <w:jc w:val="both"/>
              <w:rPr>
                <w:b w:val="0"/>
                <w:sz w:val="18"/>
                <w:szCs w:val="18"/>
                <w:highlight w:val="none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- К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опия договора на оказание услуг по предрейсовому (послерейсовому) медицинскому осмотру водителей между участником закупки и учреждением здравоохранения, имеющим соответствующую лицензию, </w:t>
            </w:r>
            <w:r>
              <w:rPr>
                <w:b/>
                <w:bCs/>
                <w:i w:val="0"/>
                <w:iCs w:val="0"/>
                <w:sz w:val="18"/>
                <w:szCs w:val="18"/>
                <w:highlight w:val="none"/>
                <w:lang w:val="tt-RU"/>
              </w:rPr>
              <w:t xml:space="preserve">с предоставлением копии такой лицензии или выписки из реестра лицензи</w:t>
            </w:r>
            <w:r>
              <w:rPr>
                <w:b/>
                <w:bCs/>
                <w:i w:val="0"/>
                <w:iCs w:val="0"/>
                <w:sz w:val="18"/>
                <w:szCs w:val="18"/>
                <w:highlight w:val="none"/>
                <w:lang w:val="tt-RU"/>
              </w:rPr>
              <w:t xml:space="preserve">й</w:t>
            </w:r>
            <w:r>
              <w:rPr>
                <w:b/>
                <w:bCs/>
                <w:i w:val="0"/>
                <w:iCs w:val="0"/>
                <w:sz w:val="18"/>
                <w:szCs w:val="18"/>
                <w:highlight w:val="none"/>
                <w:lang w:val="tt-RU"/>
              </w:rPr>
              <w:t xml:space="preserve"> в форме электронного документа, подписанного усиленной квалифицированной электронной подписью лицензирующего органа и составленного по форме, утвержденной постановлением Правительства РФ от 29 декабря 2020г. № 2343 «Об утверждении Правил формирования и ве</w:t>
            </w:r>
            <w:r>
              <w:rPr>
                <w:b/>
                <w:bCs/>
                <w:i w:val="0"/>
                <w:iCs w:val="0"/>
                <w:sz w:val="18"/>
                <w:szCs w:val="18"/>
                <w:highlight w:val="none"/>
                <w:lang w:val="tt-RU"/>
              </w:rPr>
              <w:t xml:space="preserve">дения реестра лицензий и типовой формы выписки из реестра лицензий»</w:t>
            </w:r>
            <w:r>
              <w:rPr>
                <w:b/>
                <w:bCs/>
                <w:i w:val="0"/>
                <w:iCs w:val="0"/>
                <w:sz w:val="18"/>
                <w:szCs w:val="18"/>
                <w:highlight w:val="none"/>
                <w:lang w:val="tt-RU"/>
              </w:rPr>
              <w:t xml:space="preserve">.</w:t>
            </w:r>
            <w:r>
              <w:rPr>
                <w:b/>
                <w:bCs/>
                <w:i w:val="0"/>
                <w:iCs w:val="0"/>
                <w:sz w:val="18"/>
                <w:szCs w:val="18"/>
                <w:highlight w:val="none"/>
                <w:lang w:val="tt-RU"/>
              </w:rPr>
            </w:r>
            <w:r>
              <w:rPr>
                <w:b/>
                <w:bCs/>
                <w:i w:val="0"/>
                <w:iCs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30"/>
              <w:ind w:firstLine="317"/>
              <w:jc w:val="both"/>
              <w:rPr>
                <w:b w:val="0"/>
                <w:sz w:val="18"/>
                <w:szCs w:val="18"/>
                <w:highlight w:val="none"/>
              </w:rPr>
            </w:pP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  <w:t xml:space="preserve">В случае наличия лицензии у участника закупки – копию лицензии на осуществление предрейсового (послерейсового) медицинских осмотров или выписки из реестра лицензий.</w:t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</w:r>
            <w:r>
              <w:rPr>
                <w:b/>
                <w:bCs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30"/>
              <w:ind w:firstLine="317"/>
              <w:jc w:val="both"/>
              <w:rPr>
                <w:b w:val="0"/>
                <w:sz w:val="18"/>
                <w:szCs w:val="18"/>
                <w:highlight w:val="none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- Копия договора на оказание услуг по предрейсовому (послерейсовому) техническому осмотру транспортных средств.</w:t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  <w:r>
              <w:rPr>
                <w:b w:val="0"/>
                <w:sz w:val="18"/>
                <w:szCs w:val="18"/>
                <w:highlight w:val="none"/>
                <w:lang w:val="tt-RU"/>
              </w:rPr>
            </w:r>
          </w:p>
          <w:p>
            <w:pPr>
              <w:pStyle w:val="930"/>
              <w:ind w:firstLine="317"/>
              <w:jc w:val="both"/>
              <w:rPr>
                <w:b w:val="0"/>
                <w:bCs w:val="0"/>
                <w:sz w:val="18"/>
                <w:szCs w:val="18"/>
                <w:lang w:val="tt-RU"/>
              </w:rPr>
            </w:pPr>
            <w:r>
              <w:rPr>
                <w:b w:val="0"/>
                <w:sz w:val="18"/>
                <w:szCs w:val="18"/>
                <w:highlight w:val="none"/>
                <w:lang w:val="tt-RU"/>
              </w:rPr>
              <w:t xml:space="preserve">В случае наличия у участника закупки в штате аккредитованных механиков – копию трудовой книжки или трудового договора, и копия аттестации в транспортной инспекции.</w:t>
            </w:r>
            <w:r>
              <w:rPr>
                <w:b w:val="0"/>
                <w:bCs w:val="0"/>
                <w:sz w:val="18"/>
                <w:szCs w:val="18"/>
                <w:lang w:val="tt-RU"/>
              </w:rPr>
            </w:r>
            <w:r>
              <w:rPr>
                <w:b w:val="0"/>
                <w:bCs w:val="0"/>
                <w:sz w:val="18"/>
                <w:szCs w:val="18"/>
                <w:lang w:val="tt-RU"/>
              </w:rPr>
            </w:r>
          </w:p>
          <w:p>
            <w:pPr>
              <w:pStyle w:val="962"/>
              <w:ind w:left="0" w:right="0" w:firstLine="317"/>
              <w:jc w:val="both"/>
              <w:spacing w:before="0" w:after="0"/>
              <w:widowControl w:val="off"/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  <w14:ligatures w14:val="none"/>
              </w:rPr>
            </w:pP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  <w14:ligatures w14:val="none"/>
              </w:rPr>
              <w:t xml:space="preserve">- </w:t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  <w14:ligatures w14:val="none"/>
              </w:rPr>
              <w:t xml:space="preserve">Копия договора и/или копия полиса страхования гражданской ответственности за причиненный при перевозке вред жизни и здоровью пассажира транспортного средства и/или его имуществу.</w:t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  <w14:ligatures w14:val="none"/>
              </w:rPr>
            </w:r>
            <w:r>
              <w:rPr>
                <w:rFonts w:eastAsia="Times New Roman" w:cs="Times New Roman"/>
                <w:b w:val="0"/>
                <w:bCs w:val="0"/>
                <w:sz w:val="18"/>
                <w:szCs w:val="18"/>
                <w:lang w:val="tt-RU" w:eastAsia="ru-RU" w:bidi="ar-SA"/>
                <w14:ligatures w14:val="none"/>
              </w:rPr>
            </w:r>
          </w:p>
        </w:tc>
      </w:tr>
    </w:tbl>
    <w:p>
      <w:pPr>
        <w:pStyle w:val="920"/>
        <w:jc w:val="both"/>
        <w:rPr>
          <w:sz w:val="20"/>
          <w:szCs w:val="20"/>
          <w:lang w:val="en-US" w:eastAsia="en-US"/>
        </w:rPr>
      </w:pPr>
      <w:r>
        <w:rPr>
          <w:sz w:val="20"/>
          <w:szCs w:val="20"/>
          <w:lang w:val="tt-RU" w:eastAsia="en-US"/>
        </w:rPr>
        <w:t xml:space="preserve">   </w:t>
      </w:r>
      <w:r>
        <w:rPr>
          <w:sz w:val="20"/>
          <w:szCs w:val="20"/>
          <w:lang w:eastAsia="en-US"/>
        </w:rPr>
        <w:t xml:space="preserve">9</w:t>
      </w:r>
      <w:r>
        <w:rPr>
          <w:sz w:val="20"/>
          <w:szCs w:val="20"/>
          <w:lang w:val="en-US" w:eastAsia="en-US"/>
        </w:rPr>
        <w:t xml:space="preserve">.</w:t>
      </w:r>
      <w:r>
        <w:rPr>
          <w:sz w:val="20"/>
          <w:szCs w:val="20"/>
          <w:lang w:eastAsia="en-US"/>
        </w:rPr>
        <w:t xml:space="preserve"> 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  <w:t xml:space="preserve"> В связи с тем, что комиссией принято решение об отклонении предложений всех участников конкурентного отбора, признать конкурентный отбор № </w:t>
      </w:r>
      <w:r>
        <w:rPr>
          <w:sz w:val="20"/>
          <w:szCs w:val="20"/>
          <w:lang w:eastAsia="en-US"/>
        </w:rPr>
        <w:t xml:space="preserve">0011326023DP</w:t>
      </w:r>
      <w:r/>
      <w:r>
        <w:rPr>
          <w:sz w:val="20"/>
          <w:szCs w:val="20"/>
          <w:lang w:val="en-US" w:eastAsia="en-US"/>
        </w:rPr>
        <w:t xml:space="preserve"> несостоявшимся.</w:t>
      </w:r>
      <w:r>
        <w:rPr>
          <w:sz w:val="20"/>
          <w:szCs w:val="20"/>
          <w:lang w:val="en-US" w:eastAsia="en-US"/>
        </w:rPr>
      </w:r>
      <w:r>
        <w:rPr>
          <w:sz w:val="20"/>
          <w:szCs w:val="20"/>
          <w:lang w:val="en-US" w:eastAsia="en-US"/>
        </w:rPr>
      </w:r>
    </w:p>
    <w:p>
      <w:pPr>
        <w:pStyle w:val="920"/>
        <w:ind w:firstLine="142"/>
        <w:jc w:val="both"/>
        <w:widowControl w:val="off"/>
        <w:rPr>
          <w:sz w:val="20"/>
          <w:szCs w:val="20"/>
        </w:rPr>
      </w:pP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0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Настоящий </w:t>
      </w:r>
      <w:r>
        <w:rPr>
          <w:sz w:val="20"/>
          <w:szCs w:val="20"/>
        </w:rPr>
        <w:t xml:space="preserve">протокол подлежит</w:t>
      </w:r>
      <w:r>
        <w:rPr>
          <w:sz w:val="20"/>
          <w:szCs w:val="20"/>
        </w:rPr>
        <w:t xml:space="preserve"> размещению на электронной </w:t>
      </w:r>
      <w:r>
        <w:rPr>
          <w:sz w:val="20"/>
          <w:szCs w:val="20"/>
        </w:rPr>
        <w:t xml:space="preserve">торгов</w:t>
      </w:r>
      <w:r>
        <w:rPr>
          <w:sz w:val="20"/>
          <w:szCs w:val="20"/>
        </w:rPr>
        <w:t xml:space="preserve">ой площадке etpzakupki</w:t>
      </w:r>
      <w:r>
        <w:rPr>
          <w:sz w:val="20"/>
          <w:szCs w:val="20"/>
        </w:rPr>
        <w:t xml:space="preserve">.tatar.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920"/>
        <w:ind w:firstLine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1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Подписи: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pPr w:horzAnchor="text" w:tblpXSpec="left" w:vertAnchor="text" w:tblpY="1" w:leftFromText="180" w:topFromText="0" w:rightFromText="180" w:bottomFromText="0"/>
        <w:tblW w:w="10937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961"/>
        <w:gridCol w:w="6696"/>
        <w:gridCol w:w="2280"/>
      </w:tblGrid>
      <w:tr>
        <w:tblPrEx/>
        <w:trPr>
          <w:trHeight w:val="6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61" w:type="dxa"/>
            <w:vAlign w:val="top"/>
            <w:textDirection w:val="lrTb"/>
            <w:noWrap w:val="false"/>
          </w:tcPr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П</w:t>
            </w:r>
            <w:r>
              <w:rPr>
                <w:sz w:val="16"/>
                <w:szCs w:val="16"/>
              </w:rPr>
              <w:t xml:space="preserve">редседател</w:t>
            </w:r>
            <w:r>
              <w:rPr>
                <w:sz w:val="16"/>
                <w:szCs w:val="16"/>
              </w:rPr>
              <w:t xml:space="preserve">ь</w:t>
            </w:r>
            <w:r>
              <w:rPr>
                <w:sz w:val="16"/>
                <w:szCs w:val="16"/>
              </w:rPr>
              <w:t xml:space="preserve"> ко</w:t>
            </w:r>
            <w:r>
              <w:rPr>
                <w:sz w:val="16"/>
                <w:szCs w:val="16"/>
              </w:rPr>
              <w:t xml:space="preserve">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96" w:type="dxa"/>
            <w:vAlign w:val="top"/>
            <w:textDirection w:val="lrTb"/>
            <w:noWrap w:val="false"/>
          </w:tcPr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З</w:t>
            </w:r>
            <w:r>
              <w:rPr>
                <w:sz w:val="16"/>
                <w:szCs w:val="16"/>
              </w:rPr>
              <w:t xml:space="preserve">амести</w:t>
            </w:r>
            <w:r>
              <w:rPr>
                <w:sz w:val="16"/>
                <w:szCs w:val="16"/>
              </w:rPr>
              <w:t xml:space="preserve">тел</w:t>
            </w:r>
            <w:r>
              <w:rPr>
                <w:sz w:val="16"/>
                <w:szCs w:val="16"/>
              </w:rPr>
              <w:t xml:space="preserve">ь</w:t>
            </w:r>
            <w:r>
              <w:rPr>
                <w:sz w:val="16"/>
                <w:szCs w:val="16"/>
              </w:rPr>
              <w:t xml:space="preserve"> председателя</w:t>
            </w:r>
            <w:r>
              <w:rPr>
                <w:sz w:val="16"/>
                <w:szCs w:val="16"/>
              </w:rPr>
              <w:t xml:space="preserve"> Го</w:t>
            </w:r>
            <w:r>
              <w:rPr>
                <w:sz w:val="16"/>
                <w:szCs w:val="16"/>
              </w:rPr>
              <w:t xml:space="preserve">сударственного комитета Республики Татарстан по закупкам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М.С. Алмазова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</w:t>
            </w:r>
            <w:r>
              <w:rPr>
                <w:sz w:val="16"/>
                <w:szCs w:val="16"/>
              </w:rPr>
              <w:t xml:space="preserve">тами 8.1, 9</w:t>
            </w:r>
            <w:r>
              <w:rPr>
                <w:sz w:val="16"/>
                <w:szCs w:val="16"/>
              </w:rPr>
              <w:t xml:space="preserve">  согласен   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0" w:type="dxa"/>
            <w:vAlign w:val="bottom"/>
            <w:textDirection w:val="lrTb"/>
            <w:noWrap w:val="false"/>
          </w:tcPr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79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61" w:type="dxa"/>
            <w:vAlign w:val="top"/>
            <w:textDirection w:val="lrTb"/>
            <w:noWrap w:val="false"/>
          </w:tcPr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Чле</w:t>
            </w:r>
            <w:r>
              <w:rPr>
                <w:sz w:val="16"/>
                <w:szCs w:val="16"/>
              </w:rPr>
              <w:t xml:space="preserve">ны комиссии: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96" w:type="dxa"/>
            <w:vAlign w:val="top"/>
            <w:textDirection w:val="lrTb"/>
            <w:noWrap w:val="false"/>
          </w:tcPr>
          <w:p>
            <w:pPr>
              <w:pStyle w:val="920"/>
              <w:widowControl w:val="off"/>
              <w:rPr>
                <w:sz w:val="16"/>
                <w:szCs w:val="16"/>
                <w:lang w:val="tt-RU"/>
              </w:rPr>
              <w:framePr w:hSpace="180" w:wrap="around" w:vAnchor="text" w:hAnchor="text" w:y="1"/>
            </w:pPr>
            <w:r>
              <w:rPr>
                <w:sz w:val="16"/>
                <w:szCs w:val="16"/>
                <w:lang w:val="tt-RU"/>
              </w:rPr>
              <w:t xml:space="preserve">Ведущий специалист отдела методологического сопровождения закупо</w:t>
            </w:r>
            <w:r>
              <w:rPr>
                <w:sz w:val="16"/>
                <w:szCs w:val="16"/>
                <w:lang w:val="tt-RU"/>
              </w:rPr>
              <w:t xml:space="preserve">к Государственного к</w:t>
            </w:r>
            <w:r>
              <w:rPr>
                <w:sz w:val="16"/>
                <w:szCs w:val="16"/>
                <w:lang w:val="tt-RU"/>
              </w:rPr>
              <w:t xml:space="preserve">омитета Республики Тата</w:t>
            </w:r>
            <w:r>
              <w:rPr>
                <w:sz w:val="16"/>
                <w:szCs w:val="16"/>
                <w:lang w:val="tt-RU"/>
              </w:rPr>
              <w:t xml:space="preserve">рстан по закупкам</w:t>
            </w:r>
            <w:r>
              <w:rPr>
                <w:sz w:val="16"/>
                <w:szCs w:val="16"/>
                <w:lang w:val="tt-RU"/>
              </w:rPr>
            </w:r>
            <w:r>
              <w:rPr>
                <w:sz w:val="16"/>
                <w:szCs w:val="16"/>
                <w:lang w:val="tt-RU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  <w:lang w:val="tt-RU"/>
              </w:rPr>
              <w:t xml:space="preserve">Э.Р. Гаязова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пунктами 8.1, 9  сог</w:t>
            </w:r>
            <w:r>
              <w:rPr>
                <w:sz w:val="16"/>
                <w:szCs w:val="16"/>
              </w:rPr>
              <w:t xml:space="preserve">ла</w:t>
            </w:r>
            <w:r>
              <w:rPr>
                <w:sz w:val="16"/>
                <w:szCs w:val="16"/>
              </w:rPr>
              <w:t xml:space="preserve">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0" w:type="dxa"/>
            <w:vAlign w:val="bottom"/>
            <w:textDirection w:val="lrTb"/>
            <w:noWrap w:val="false"/>
          </w:tcPr>
          <w:p>
            <w:pPr>
              <w:pStyle w:val="920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66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61" w:type="dxa"/>
            <w:vAlign w:val="top"/>
            <w:textDirection w:val="lrTb"/>
            <w:noWrap w:val="false"/>
          </w:tcPr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96" w:type="dxa"/>
            <w:vAlign w:val="top"/>
            <w:textDirection w:val="lrTb"/>
            <w:noWrap w:val="false"/>
          </w:tcPr>
          <w:p>
            <w:pPr>
              <w:pStyle w:val="920"/>
              <w:widowControl w:val="off"/>
              <w:rPr>
                <w:sz w:val="16"/>
                <w:szCs w:val="16"/>
                <w:lang w:val="tt-RU"/>
              </w:rPr>
            </w:pPr>
            <w:r>
              <w:rPr>
                <w:sz w:val="16"/>
                <w:szCs w:val="16"/>
                <w:lang w:val="tt-RU"/>
              </w:rPr>
              <w:t xml:space="preserve">Вед</w:t>
            </w:r>
            <w:r>
              <w:rPr>
                <w:sz w:val="16"/>
                <w:szCs w:val="16"/>
                <w:lang w:val="tt-RU"/>
              </w:rPr>
              <w:t xml:space="preserve">ущий специалист </w:t>
            </w:r>
            <w:r>
              <w:rPr>
                <w:sz w:val="16"/>
                <w:szCs w:val="16"/>
                <w:lang w:val="tt-RU"/>
              </w:rPr>
              <w:t xml:space="preserve">Государственного к</w:t>
            </w:r>
            <w:r>
              <w:rPr>
                <w:sz w:val="16"/>
                <w:szCs w:val="16"/>
                <w:lang w:val="tt-RU"/>
              </w:rPr>
              <w:t xml:space="preserve">омитета Республики Татарстан по закупкам</w:t>
            </w:r>
            <w:r>
              <w:rPr>
                <w:sz w:val="16"/>
                <w:szCs w:val="16"/>
                <w:lang w:val="tt-RU"/>
              </w:rPr>
            </w:r>
            <w:r>
              <w:rPr>
                <w:sz w:val="16"/>
                <w:szCs w:val="16"/>
                <w:lang w:val="tt-RU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  <w:lang w:val="tt-RU"/>
              </w:rPr>
              <w:framePr w:hSpace="180" w:wrap="around" w:vAnchor="text" w:hAnchor="text" w:y="1"/>
            </w:pPr>
            <w:r>
              <w:rPr>
                <w:sz w:val="16"/>
                <w:szCs w:val="16"/>
                <w:lang w:val="tt-RU"/>
              </w:rPr>
              <w:t xml:space="preserve">Г.Р. Юсупова</w:t>
            </w:r>
            <w:r>
              <w:rPr>
                <w:sz w:val="16"/>
                <w:szCs w:val="16"/>
                <w:lang w:val="tt-RU"/>
              </w:rPr>
            </w:r>
            <w:r>
              <w:rPr>
                <w:sz w:val="16"/>
                <w:szCs w:val="16"/>
                <w:lang w:val="tt-RU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9  сог</w:t>
            </w:r>
            <w:r>
              <w:rPr>
                <w:sz w:val="16"/>
                <w:szCs w:val="16"/>
              </w:rPr>
              <w:t xml:space="preserve">ла</w:t>
            </w:r>
            <w:r>
              <w:rPr>
                <w:sz w:val="16"/>
                <w:szCs w:val="16"/>
              </w:rPr>
              <w:t xml:space="preserve">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  <w:lang w:val="tt-RU"/>
              </w:rPr>
              <w:framePr w:hSpace="180" w:wrap="around" w:vAnchor="text" w:hAnchor="text" w:y="1"/>
            </w:pPr>
            <w:r>
              <w:rPr>
                <w:sz w:val="16"/>
                <w:szCs w:val="16"/>
                <w:lang w:val="tt-RU"/>
              </w:rPr>
            </w:r>
            <w:r>
              <w:rPr>
                <w:sz w:val="16"/>
                <w:szCs w:val="16"/>
                <w:lang w:val="tt-RU"/>
              </w:rPr>
            </w:r>
            <w:r>
              <w:rPr>
                <w:sz w:val="16"/>
                <w:szCs w:val="16"/>
                <w:lang w:val="tt-RU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0" w:type="dxa"/>
            <w:vAlign w:val="bottom"/>
            <w:textDirection w:val="lrTb"/>
            <w:noWrap w:val="false"/>
          </w:tcPr>
          <w:p>
            <w:pPr>
              <w:pStyle w:val="920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66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61" w:type="dxa"/>
            <w:vAlign w:val="top"/>
            <w:textDirection w:val="lrTb"/>
            <w:noWrap w:val="false"/>
          </w:tcPr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96" w:type="dxa"/>
            <w:vAlign w:val="top"/>
            <w:textDirection w:val="lrTb"/>
            <w:noWrap w:val="false"/>
          </w:tcPr>
          <w:p>
            <w:pPr>
              <w:pStyle w:val="920"/>
              <w:widowControl w:val="off"/>
              <w:rPr>
                <w:sz w:val="16"/>
                <w:szCs w:val="16"/>
                <w:lang w:val="tt-RU"/>
              </w:rPr>
            </w:pPr>
            <w:r>
              <w:rPr>
                <w:sz w:val="16"/>
                <w:szCs w:val="16"/>
                <w:lang w:val="tt-RU"/>
              </w:rPr>
              <w:t xml:space="preserve">Вед</w:t>
            </w:r>
            <w:r>
              <w:rPr>
                <w:sz w:val="16"/>
                <w:szCs w:val="16"/>
                <w:lang w:val="tt-RU"/>
              </w:rPr>
              <w:t xml:space="preserve">ущий специалист </w:t>
            </w:r>
            <w:r>
              <w:rPr>
                <w:sz w:val="16"/>
                <w:szCs w:val="16"/>
                <w:lang w:val="tt-RU"/>
              </w:rPr>
              <w:t xml:space="preserve">Государственного к</w:t>
            </w:r>
            <w:r>
              <w:rPr>
                <w:sz w:val="16"/>
                <w:szCs w:val="16"/>
                <w:lang w:val="tt-RU"/>
              </w:rPr>
              <w:t xml:space="preserve">омитета Республики Татарстан по закупкам</w:t>
            </w:r>
            <w:r>
              <w:rPr>
                <w:sz w:val="16"/>
                <w:szCs w:val="16"/>
                <w:lang w:val="tt-RU"/>
              </w:rPr>
            </w:r>
            <w:r>
              <w:rPr>
                <w:sz w:val="16"/>
                <w:szCs w:val="16"/>
                <w:lang w:val="tt-RU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  <w:lang w:val="tt-RU"/>
              </w:rPr>
              <w:framePr w:hSpace="180" w:wrap="around" w:vAnchor="text" w:hAnchor="text" w:y="1"/>
            </w:pPr>
            <w:r>
              <w:rPr>
                <w:sz w:val="16"/>
                <w:szCs w:val="16"/>
                <w:lang w:val="tt-RU"/>
              </w:rPr>
              <w:t xml:space="preserve">А.И. Гайнулли</w:t>
            </w:r>
            <w:r>
              <w:rPr>
                <w:sz w:val="16"/>
                <w:szCs w:val="16"/>
                <w:lang w:val="tt-RU"/>
              </w:rPr>
              <w:t xml:space="preserve">н</w:t>
            </w:r>
            <w:r>
              <w:rPr>
                <w:sz w:val="16"/>
                <w:szCs w:val="16"/>
                <w:lang w:val="tt-RU"/>
              </w:rPr>
            </w:r>
            <w:r>
              <w:rPr>
                <w:sz w:val="16"/>
                <w:szCs w:val="16"/>
                <w:lang w:val="tt-RU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9  сог</w:t>
            </w:r>
            <w:r>
              <w:rPr>
                <w:sz w:val="16"/>
                <w:szCs w:val="16"/>
              </w:rPr>
              <w:t xml:space="preserve">ла</w:t>
            </w:r>
            <w:r>
              <w:rPr>
                <w:sz w:val="16"/>
                <w:szCs w:val="16"/>
              </w:rPr>
              <w:t xml:space="preserve">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0" w:type="dxa"/>
            <w:vAlign w:val="bottom"/>
            <w:textDirection w:val="lrTb"/>
            <w:noWrap w:val="false"/>
          </w:tcPr>
          <w:p>
            <w:pPr>
              <w:pStyle w:val="920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jc w:val="center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661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61" w:type="dxa"/>
            <w:vAlign w:val="top"/>
            <w:textDirection w:val="lrTb"/>
            <w:noWrap w:val="false"/>
          </w:tcPr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96" w:type="dxa"/>
            <w:vAlign w:val="top"/>
            <w:textDirection w:val="lrTb"/>
            <w:noWrap w:val="false"/>
          </w:tcPr>
          <w:p>
            <w:pPr>
              <w:pStyle w:val="920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Функциональный менеджер финансов</w:t>
            </w:r>
            <w:r>
              <w:rPr>
                <w:sz w:val="16"/>
                <w:szCs w:val="16"/>
              </w:rPr>
              <w:t xml:space="preserve">ого управления АНО «Дирекция спортивных и социа</w:t>
            </w:r>
            <w:r>
              <w:rPr>
                <w:sz w:val="16"/>
                <w:szCs w:val="16"/>
              </w:rPr>
              <w:t xml:space="preserve">льных проектов»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Р.Г. Чакалова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 пунктами 8.1, 9  согла</w:t>
            </w:r>
            <w:r>
              <w:rPr>
                <w:sz w:val="16"/>
                <w:szCs w:val="16"/>
              </w:rPr>
              <w:t xml:space="preserve">сен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0" w:type="dxa"/>
            <w:vAlign w:val="bottom"/>
            <w:textDirection w:val="lrTb"/>
            <w:noWrap w:val="false"/>
          </w:tcPr>
          <w:p>
            <w:pPr>
              <w:pStyle w:val="920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65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961" w:type="dxa"/>
            <w:vAlign w:val="top"/>
            <w:textDirection w:val="lrTb"/>
            <w:noWrap w:val="false"/>
          </w:tcPr>
          <w:p>
            <w:pPr>
              <w:pStyle w:val="920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Секретарь комиссии: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96" w:type="dxa"/>
            <w:vAlign w:val="top"/>
            <w:textDirection w:val="lrTb"/>
            <w:noWrap w:val="false"/>
          </w:tcPr>
          <w:p>
            <w:pPr>
              <w:pStyle w:val="920"/>
              <w:widowControl w:val="off"/>
              <w:rPr>
                <w:sz w:val="16"/>
                <w:szCs w:val="16"/>
                <w:lang w:val="tt-RU"/>
              </w:rPr>
            </w:pPr>
            <w:r>
              <w:rPr>
                <w:sz w:val="16"/>
                <w:szCs w:val="16"/>
                <w:lang w:val="tt-RU"/>
              </w:rPr>
              <w:t xml:space="preserve">Заместитель начал</w:t>
            </w:r>
            <w:r>
              <w:rPr>
                <w:sz w:val="16"/>
                <w:szCs w:val="16"/>
                <w:lang w:val="tt-RU"/>
              </w:rPr>
              <w:t xml:space="preserve">ьни</w:t>
            </w:r>
            <w:r>
              <w:rPr>
                <w:sz w:val="16"/>
                <w:szCs w:val="16"/>
                <w:lang w:val="tt-RU"/>
              </w:rPr>
              <w:t xml:space="preserve">ка</w:t>
            </w:r>
            <w:r>
              <w:rPr>
                <w:sz w:val="16"/>
                <w:szCs w:val="16"/>
                <w:lang w:val="tt-RU"/>
              </w:rPr>
              <w:t xml:space="preserve"> </w:t>
            </w:r>
            <w:r>
              <w:rPr>
                <w:sz w:val="16"/>
                <w:szCs w:val="16"/>
                <w:lang w:val="tt-RU"/>
              </w:rPr>
              <w:t xml:space="preserve">отдела анализа и обеспечения централизованных закупо</w:t>
            </w:r>
            <w:r>
              <w:rPr>
                <w:sz w:val="16"/>
                <w:szCs w:val="16"/>
                <w:lang w:val="tt-RU"/>
              </w:rPr>
              <w:t xml:space="preserve">к Государственного к</w:t>
            </w:r>
            <w:r>
              <w:rPr>
                <w:sz w:val="16"/>
                <w:szCs w:val="16"/>
                <w:lang w:val="tt-RU"/>
              </w:rPr>
              <w:t xml:space="preserve">омитета Республики Татарстан по закупкам</w:t>
            </w:r>
            <w:r>
              <w:rPr>
                <w:sz w:val="16"/>
                <w:szCs w:val="16"/>
                <w:lang w:val="tt-RU"/>
              </w:rPr>
            </w:r>
            <w:r>
              <w:rPr>
                <w:sz w:val="16"/>
                <w:szCs w:val="16"/>
                <w:lang w:val="tt-RU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Р.Р. Мухамедзянова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widowControl w:val="off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8.1, 9  сог</w:t>
            </w:r>
            <w:r>
              <w:rPr>
                <w:sz w:val="16"/>
                <w:szCs w:val="16"/>
              </w:rPr>
              <w:t xml:space="preserve">ласе</w:t>
            </w:r>
            <w:r>
              <w:rPr>
                <w:sz w:val="16"/>
                <w:szCs w:val="16"/>
              </w:rPr>
              <w:t xml:space="preserve">н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280" w:type="dxa"/>
            <w:vAlign w:val="bottom"/>
            <w:textDirection w:val="lrTb"/>
            <w:noWrap w:val="false"/>
          </w:tcPr>
          <w:p>
            <w:pPr>
              <w:pStyle w:val="920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_____________________</w:t>
            </w:r>
            <w:r>
              <w:rPr>
                <w:sz w:val="16"/>
                <w:szCs w:val="16"/>
              </w:rPr>
              <w:t xml:space="preserve">____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20"/>
              <w:jc w:val="center"/>
              <w:widowControl w:val="off"/>
              <w:rPr>
                <w:sz w:val="16"/>
                <w:szCs w:val="16"/>
              </w:rPr>
              <w:framePr w:hSpace="180" w:wrap="around" w:vAnchor="text" w:hAnchor="text" w:y="1"/>
            </w:pPr>
            <w:r>
              <w:rPr>
                <w:sz w:val="16"/>
                <w:szCs w:val="16"/>
              </w:rPr>
              <w:t xml:space="preserve">(подпись)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</w:tbl>
    <w:p>
      <w:r/>
      <w:r/>
    </w:p>
    <w:sectPr>
      <w:footerReference w:type="default" r:id="rId9"/>
      <w:footerReference w:type="even" r:id="rId10"/>
      <w:footnotePr/>
      <w:endnotePr/>
      <w:type w:val="nextPage"/>
      <w:pgSz w:w="11906" w:h="16838" w:orient="portrait"/>
      <w:pgMar w:top="568" w:right="360" w:bottom="568" w:left="568" w:header="346" w:footer="131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Calibri">
    <w:panose1 w:val="020F0502020204030204"/>
  </w:font>
  <w:font w:name="Times New Roman">
    <w:panose1 w:val="02020603050405020304"/>
  </w:font>
  <w:font w:name="TimesDL">
    <w:panose1 w:val="02000603000000000000"/>
  </w:font>
  <w:font w:name="Tahoma">
    <w:panose1 w:val="020B0604030504040204"/>
  </w:font>
  <w:font w:name="Arial Unicode MS">
    <w:panose1 w:val="020B0606020202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2"/>
      <w:rPr>
        <w:rStyle w:val="933"/>
      </w:rPr>
      <w:framePr w:wrap="around" w:vAnchor="text" w:hAnchor="margin" w:xAlign="right" w:y="1"/>
    </w:pPr>
    <w:r>
      <w:rPr>
        <w:rStyle w:val="933"/>
      </w:rPr>
      <w:fldChar w:fldCharType="begin"/>
    </w:r>
    <w:r>
      <w:rPr>
        <w:rStyle w:val="933"/>
      </w:rPr>
      <w:instrText xml:space="preserve">PAGE  </w:instrText>
    </w:r>
    <w:r>
      <w:rPr>
        <w:rStyle w:val="933"/>
      </w:rPr>
      <w:fldChar w:fldCharType="end"/>
    </w:r>
    <w:r>
      <w:rPr>
        <w:rStyle w:val="933"/>
      </w:rPr>
    </w:r>
    <w:r>
      <w:rPr>
        <w:rStyle w:val="933"/>
      </w:rPr>
    </w:r>
  </w:p>
  <w:p>
    <w:pPr>
      <w:pStyle w:val="932"/>
      <w:ind w:right="36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37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9"/>
      <w:numFmt w:val="bullet"/>
      <w:isLgl w:val="false"/>
      <w:suff w:val="tab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9"/>
      <w:numFmt w:val="bullet"/>
      <w:isLgl w:val="false"/>
      <w:suff w:val="tab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─"/>
      <w:lvlJc w:val="left"/>
      <w:pPr>
        <w:ind w:left="1428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─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12" w:hanging="360"/>
        <w:tabs>
          <w:tab w:val="num" w:pos="81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532" w:hanging="360"/>
        <w:tabs>
          <w:tab w:val="num" w:pos="1532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252" w:hanging="180"/>
        <w:tabs>
          <w:tab w:val="num" w:pos="225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72" w:hanging="360"/>
        <w:tabs>
          <w:tab w:val="num" w:pos="2972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92" w:hanging="360"/>
        <w:tabs>
          <w:tab w:val="num" w:pos="3692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412" w:hanging="180"/>
        <w:tabs>
          <w:tab w:val="num" w:pos="441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132" w:hanging="360"/>
        <w:tabs>
          <w:tab w:val="num" w:pos="5132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852" w:hanging="360"/>
        <w:tabs>
          <w:tab w:val="num" w:pos="5852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72" w:hanging="180"/>
        <w:tabs>
          <w:tab w:val="num" w:pos="6572" w:leader="none"/>
        </w:tabs>
      </w:pPr>
    </w:lvl>
  </w:abstractNum>
  <w:abstractNum w:abstractNumId="14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4" w:hanging="360"/>
        <w:tabs>
          <w:tab w:val="num" w:pos="374" w:leader="none"/>
        </w:tabs>
      </w:pPr>
      <w:rPr>
        <w:b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094" w:hanging="360"/>
        <w:tabs>
          <w:tab w:val="num" w:pos="109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14" w:hanging="180"/>
        <w:tabs>
          <w:tab w:val="num" w:pos="181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34" w:hanging="360"/>
        <w:tabs>
          <w:tab w:val="num" w:pos="253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54" w:hanging="360"/>
        <w:tabs>
          <w:tab w:val="num" w:pos="325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74" w:hanging="180"/>
        <w:tabs>
          <w:tab w:val="num" w:pos="397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94" w:hanging="360"/>
        <w:tabs>
          <w:tab w:val="num" w:pos="469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14" w:hanging="360"/>
        <w:tabs>
          <w:tab w:val="num" w:pos="541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34" w:hanging="180"/>
        <w:tabs>
          <w:tab w:val="num" w:pos="6134" w:leader="none"/>
        </w:tabs>
      </w:pPr>
    </w:lvl>
  </w:abstractNum>
  <w:abstractNum w:abstractNumId="2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81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17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9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1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3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5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7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9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10" w:hanging="180"/>
      </w:pPr>
    </w:lvl>
  </w:abstractNum>
  <w:abstractNum w:abstractNumId="24">
    <w:multiLevelType w:val="hybridMultilevel"/>
    <w:lvl w:ilvl="0">
      <w:start w:val="1"/>
      <w:numFmt w:val="decimal"/>
      <w:pStyle w:val="942"/>
      <w:isLgl w:val="false"/>
      <w:suff w:val="tab"/>
      <w:lvlText w:val="%1."/>
      <w:lvlJc w:val="left"/>
      <w:pPr>
        <w:ind w:left="5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2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0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72" w:hanging="360"/>
        <w:tabs>
          <w:tab w:val="num" w:pos="972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92" w:hanging="360"/>
        <w:tabs>
          <w:tab w:val="num" w:pos="1692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412" w:hanging="180"/>
        <w:tabs>
          <w:tab w:val="num" w:pos="2412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132" w:hanging="360"/>
        <w:tabs>
          <w:tab w:val="num" w:pos="3132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52" w:hanging="360"/>
        <w:tabs>
          <w:tab w:val="num" w:pos="3852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72" w:hanging="180"/>
        <w:tabs>
          <w:tab w:val="num" w:pos="4572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92" w:hanging="360"/>
        <w:tabs>
          <w:tab w:val="num" w:pos="5292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012" w:hanging="360"/>
        <w:tabs>
          <w:tab w:val="num" w:pos="6012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732" w:hanging="180"/>
        <w:tabs>
          <w:tab w:val="num" w:pos="6732" w:leader="none"/>
        </w:tabs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  <w:tabs>
          <w:tab w:val="num" w:pos="18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  <w:tabs>
          <w:tab w:val="num" w:pos="25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  <w:tabs>
          <w:tab w:val="num" w:pos="32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  <w:tabs>
          <w:tab w:val="num" w:pos="39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  <w:tabs>
          <w:tab w:val="num" w:pos="46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  <w:tabs>
          <w:tab w:val="num" w:pos="54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  <w:tabs>
          <w:tab w:val="num" w:pos="6120" w:leader="none"/>
        </w:tabs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" w:firstLine="0"/>
        <w:tabs>
          <w:tab w:val="num" w:pos="1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28"/>
  </w:num>
  <w:num w:numId="2">
    <w:abstractNumId w:val="19"/>
  </w:num>
  <w:num w:numId="3">
    <w:abstractNumId w:val="26"/>
  </w:num>
  <w:num w:numId="4">
    <w:abstractNumId w:val="13"/>
  </w:num>
  <w:num w:numId="5">
    <w:abstractNumId w:val="9"/>
  </w:num>
  <w:num w:numId="6">
    <w:abstractNumId w:val="2"/>
  </w:num>
  <w:num w:numId="7">
    <w:abstractNumId w:val="21"/>
  </w:num>
  <w:num w:numId="8">
    <w:abstractNumId w:val="27"/>
  </w:num>
  <w:num w:numId="9">
    <w:abstractNumId w:val="18"/>
  </w:num>
  <w:num w:numId="10">
    <w:abstractNumId w:val="29"/>
  </w:num>
  <w:num w:numId="11">
    <w:abstractNumId w:val="3"/>
  </w:num>
  <w:num w:numId="12">
    <w:abstractNumId w:val="25"/>
  </w:num>
  <w:num w:numId="13">
    <w:abstractNumId w:val="15"/>
  </w:num>
  <w:num w:numId="14">
    <w:abstractNumId w:val="22"/>
  </w:num>
  <w:num w:numId="15">
    <w:abstractNumId w:val="12"/>
  </w:num>
  <w:num w:numId="16">
    <w:abstractNumId w:val="16"/>
  </w:num>
  <w:num w:numId="17">
    <w:abstractNumId w:val="8"/>
  </w:num>
  <w:num w:numId="18">
    <w:abstractNumId w:val="6"/>
  </w:num>
  <w:num w:numId="19">
    <w:abstractNumId w:val="0"/>
  </w:num>
  <w:num w:numId="20">
    <w:abstractNumId w:val="24"/>
  </w:num>
  <w:num w:numId="21">
    <w:abstractNumId w:val="23"/>
  </w:num>
  <w:num w:numId="22">
    <w:abstractNumId w:val="14"/>
  </w:num>
  <w:num w:numId="23">
    <w:abstractNumId w:val="5"/>
  </w:num>
  <w:num w:numId="24">
    <w:abstractNumId w:val="11"/>
  </w:num>
  <w:num w:numId="25">
    <w:abstractNumId w:val="17"/>
  </w:num>
  <w:num w:numId="26">
    <w:abstractNumId w:val="7"/>
  </w:num>
  <w:num w:numId="27">
    <w:abstractNumId w:val="20"/>
  </w:num>
  <w:num w:numId="28">
    <w:abstractNumId w:val="4"/>
  </w:num>
  <w:num w:numId="29">
    <w:abstractNumId w:val="1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2">
    <w:name w:val="Heading 1"/>
    <w:basedOn w:val="920"/>
    <w:next w:val="920"/>
    <w:link w:val="74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43">
    <w:name w:val="Heading 1 Char"/>
    <w:link w:val="742"/>
    <w:uiPriority w:val="9"/>
    <w:rPr>
      <w:rFonts w:ascii="Arial" w:hAnsi="Arial" w:eastAsia="Arial" w:cs="Arial"/>
      <w:sz w:val="40"/>
      <w:szCs w:val="40"/>
    </w:rPr>
  </w:style>
  <w:style w:type="paragraph" w:styleId="744">
    <w:name w:val="Heading 2"/>
    <w:basedOn w:val="920"/>
    <w:next w:val="920"/>
    <w:link w:val="74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45">
    <w:name w:val="Heading 2 Char"/>
    <w:link w:val="744"/>
    <w:uiPriority w:val="9"/>
    <w:rPr>
      <w:rFonts w:ascii="Arial" w:hAnsi="Arial" w:eastAsia="Arial" w:cs="Arial"/>
      <w:sz w:val="34"/>
    </w:rPr>
  </w:style>
  <w:style w:type="paragraph" w:styleId="746">
    <w:name w:val="Heading 3"/>
    <w:basedOn w:val="920"/>
    <w:next w:val="920"/>
    <w:link w:val="74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47">
    <w:name w:val="Heading 3 Char"/>
    <w:link w:val="746"/>
    <w:uiPriority w:val="9"/>
    <w:rPr>
      <w:rFonts w:ascii="Arial" w:hAnsi="Arial" w:eastAsia="Arial" w:cs="Arial"/>
      <w:sz w:val="30"/>
      <w:szCs w:val="30"/>
    </w:rPr>
  </w:style>
  <w:style w:type="paragraph" w:styleId="748">
    <w:name w:val="Heading 4"/>
    <w:basedOn w:val="920"/>
    <w:next w:val="920"/>
    <w:link w:val="74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49">
    <w:name w:val="Heading 4 Char"/>
    <w:link w:val="748"/>
    <w:uiPriority w:val="9"/>
    <w:rPr>
      <w:rFonts w:ascii="Arial" w:hAnsi="Arial" w:eastAsia="Arial" w:cs="Arial"/>
      <w:b/>
      <w:bCs/>
      <w:sz w:val="26"/>
      <w:szCs w:val="26"/>
    </w:rPr>
  </w:style>
  <w:style w:type="paragraph" w:styleId="750">
    <w:name w:val="Heading 5"/>
    <w:basedOn w:val="920"/>
    <w:next w:val="920"/>
    <w:link w:val="75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1">
    <w:name w:val="Heading 5 Char"/>
    <w:link w:val="750"/>
    <w:uiPriority w:val="9"/>
    <w:rPr>
      <w:rFonts w:ascii="Arial" w:hAnsi="Arial" w:eastAsia="Arial" w:cs="Arial"/>
      <w:b/>
      <w:bCs/>
      <w:sz w:val="24"/>
      <w:szCs w:val="24"/>
    </w:rPr>
  </w:style>
  <w:style w:type="paragraph" w:styleId="752">
    <w:name w:val="Heading 6"/>
    <w:basedOn w:val="920"/>
    <w:next w:val="920"/>
    <w:link w:val="75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3">
    <w:name w:val="Heading 6 Char"/>
    <w:link w:val="752"/>
    <w:uiPriority w:val="9"/>
    <w:rPr>
      <w:rFonts w:ascii="Arial" w:hAnsi="Arial" w:eastAsia="Arial" w:cs="Arial"/>
      <w:b/>
      <w:bCs/>
      <w:sz w:val="22"/>
      <w:szCs w:val="22"/>
    </w:rPr>
  </w:style>
  <w:style w:type="paragraph" w:styleId="754">
    <w:name w:val="Heading 7"/>
    <w:basedOn w:val="920"/>
    <w:next w:val="920"/>
    <w:link w:val="75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5">
    <w:name w:val="Heading 7 Char"/>
    <w:link w:val="75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6">
    <w:name w:val="Heading 8"/>
    <w:basedOn w:val="920"/>
    <w:next w:val="920"/>
    <w:link w:val="75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7">
    <w:name w:val="Heading 8 Char"/>
    <w:link w:val="756"/>
    <w:uiPriority w:val="9"/>
    <w:rPr>
      <w:rFonts w:ascii="Arial" w:hAnsi="Arial" w:eastAsia="Arial" w:cs="Arial"/>
      <w:i/>
      <w:iCs/>
      <w:sz w:val="22"/>
      <w:szCs w:val="22"/>
    </w:rPr>
  </w:style>
  <w:style w:type="paragraph" w:styleId="758">
    <w:name w:val="Heading 9"/>
    <w:basedOn w:val="920"/>
    <w:next w:val="920"/>
    <w:link w:val="75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9">
    <w:name w:val="Heading 9 Char"/>
    <w:link w:val="758"/>
    <w:uiPriority w:val="9"/>
    <w:rPr>
      <w:rFonts w:ascii="Arial" w:hAnsi="Arial" w:eastAsia="Arial" w:cs="Arial"/>
      <w:i/>
      <w:iCs/>
      <w:sz w:val="21"/>
      <w:szCs w:val="21"/>
    </w:rPr>
  </w:style>
  <w:style w:type="paragraph" w:styleId="760">
    <w:name w:val="List Paragraph"/>
    <w:basedOn w:val="920"/>
    <w:uiPriority w:val="34"/>
    <w:qFormat/>
    <w:pPr>
      <w:contextualSpacing/>
      <w:ind w:left="720"/>
    </w:pPr>
  </w:style>
  <w:style w:type="paragraph" w:styleId="761">
    <w:name w:val="No Spacing"/>
    <w:uiPriority w:val="1"/>
    <w:qFormat/>
    <w:pPr>
      <w:spacing w:before="0" w:after="0" w:line="240" w:lineRule="auto"/>
    </w:pPr>
  </w:style>
  <w:style w:type="paragraph" w:styleId="762">
    <w:name w:val="Title"/>
    <w:basedOn w:val="920"/>
    <w:next w:val="920"/>
    <w:link w:val="7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3">
    <w:name w:val="Title Char"/>
    <w:link w:val="762"/>
    <w:uiPriority w:val="10"/>
    <w:rPr>
      <w:sz w:val="48"/>
      <w:szCs w:val="48"/>
    </w:rPr>
  </w:style>
  <w:style w:type="paragraph" w:styleId="764">
    <w:name w:val="Subtitle"/>
    <w:basedOn w:val="920"/>
    <w:next w:val="920"/>
    <w:link w:val="765"/>
    <w:uiPriority w:val="11"/>
    <w:qFormat/>
    <w:pPr>
      <w:spacing w:before="200" w:after="200"/>
    </w:pPr>
    <w:rPr>
      <w:sz w:val="24"/>
      <w:szCs w:val="24"/>
    </w:rPr>
  </w:style>
  <w:style w:type="character" w:styleId="765">
    <w:name w:val="Subtitle Char"/>
    <w:link w:val="764"/>
    <w:uiPriority w:val="11"/>
    <w:rPr>
      <w:sz w:val="24"/>
      <w:szCs w:val="24"/>
    </w:rPr>
  </w:style>
  <w:style w:type="paragraph" w:styleId="766">
    <w:name w:val="Quote"/>
    <w:basedOn w:val="920"/>
    <w:next w:val="920"/>
    <w:link w:val="767"/>
    <w:uiPriority w:val="29"/>
    <w:qFormat/>
    <w:pPr>
      <w:ind w:left="720" w:right="720"/>
    </w:pPr>
    <w:rPr>
      <w:i/>
    </w:rPr>
  </w:style>
  <w:style w:type="character" w:styleId="767">
    <w:name w:val="Quote Char"/>
    <w:link w:val="766"/>
    <w:uiPriority w:val="29"/>
    <w:rPr>
      <w:i/>
    </w:rPr>
  </w:style>
  <w:style w:type="paragraph" w:styleId="768">
    <w:name w:val="Intense Quote"/>
    <w:basedOn w:val="920"/>
    <w:next w:val="920"/>
    <w:link w:val="7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9">
    <w:name w:val="Intense Quote Char"/>
    <w:link w:val="768"/>
    <w:uiPriority w:val="30"/>
    <w:rPr>
      <w:i/>
    </w:rPr>
  </w:style>
  <w:style w:type="paragraph" w:styleId="770">
    <w:name w:val="Header"/>
    <w:basedOn w:val="920"/>
    <w:link w:val="7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1">
    <w:name w:val="Header Char"/>
    <w:link w:val="770"/>
    <w:uiPriority w:val="99"/>
  </w:style>
  <w:style w:type="paragraph" w:styleId="772">
    <w:name w:val="Footer"/>
    <w:basedOn w:val="920"/>
    <w:link w:val="7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3">
    <w:name w:val="Footer Char"/>
    <w:link w:val="772"/>
    <w:uiPriority w:val="99"/>
  </w:style>
  <w:style w:type="paragraph" w:styleId="774">
    <w:name w:val="Caption"/>
    <w:basedOn w:val="920"/>
    <w:next w:val="9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5">
    <w:name w:val="Caption Char"/>
    <w:basedOn w:val="774"/>
    <w:link w:val="772"/>
    <w:uiPriority w:val="99"/>
  </w:style>
  <w:style w:type="table" w:styleId="77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2">
    <w:name w:val="Hyperlink"/>
    <w:uiPriority w:val="99"/>
    <w:unhideWhenUsed/>
    <w:rPr>
      <w:color w:val="0000ff" w:themeColor="hyperlink"/>
      <w:u w:val="single"/>
    </w:rPr>
  </w:style>
  <w:style w:type="paragraph" w:styleId="903">
    <w:name w:val="footnote text"/>
    <w:basedOn w:val="920"/>
    <w:link w:val="904"/>
    <w:uiPriority w:val="99"/>
    <w:semiHidden/>
    <w:unhideWhenUsed/>
    <w:pPr>
      <w:spacing w:after="40" w:line="240" w:lineRule="auto"/>
    </w:pPr>
    <w:rPr>
      <w:sz w:val="18"/>
    </w:rPr>
  </w:style>
  <w:style w:type="character" w:styleId="904">
    <w:name w:val="Footnote Text Char"/>
    <w:link w:val="903"/>
    <w:uiPriority w:val="99"/>
    <w:rPr>
      <w:sz w:val="18"/>
    </w:rPr>
  </w:style>
  <w:style w:type="character" w:styleId="905">
    <w:name w:val="footnote reference"/>
    <w:uiPriority w:val="99"/>
    <w:unhideWhenUsed/>
    <w:rPr>
      <w:vertAlign w:val="superscript"/>
    </w:rPr>
  </w:style>
  <w:style w:type="paragraph" w:styleId="906">
    <w:name w:val="endnote text"/>
    <w:basedOn w:val="920"/>
    <w:link w:val="907"/>
    <w:uiPriority w:val="99"/>
    <w:semiHidden/>
    <w:unhideWhenUsed/>
    <w:pPr>
      <w:spacing w:after="0" w:line="240" w:lineRule="auto"/>
    </w:pPr>
    <w:rPr>
      <w:sz w:val="20"/>
    </w:rPr>
  </w:style>
  <w:style w:type="character" w:styleId="907">
    <w:name w:val="Endnote Text Char"/>
    <w:link w:val="906"/>
    <w:uiPriority w:val="99"/>
    <w:rPr>
      <w:sz w:val="20"/>
    </w:rPr>
  </w:style>
  <w:style w:type="character" w:styleId="908">
    <w:name w:val="endnote reference"/>
    <w:uiPriority w:val="99"/>
    <w:semiHidden/>
    <w:unhideWhenUsed/>
    <w:rPr>
      <w:vertAlign w:val="superscript"/>
    </w:rPr>
  </w:style>
  <w:style w:type="paragraph" w:styleId="909">
    <w:name w:val="toc 1"/>
    <w:basedOn w:val="920"/>
    <w:next w:val="920"/>
    <w:uiPriority w:val="39"/>
    <w:unhideWhenUsed/>
    <w:pPr>
      <w:ind w:left="0" w:right="0" w:firstLine="0"/>
      <w:spacing w:after="57"/>
    </w:pPr>
  </w:style>
  <w:style w:type="paragraph" w:styleId="910">
    <w:name w:val="toc 2"/>
    <w:basedOn w:val="920"/>
    <w:next w:val="920"/>
    <w:uiPriority w:val="39"/>
    <w:unhideWhenUsed/>
    <w:pPr>
      <w:ind w:left="283" w:right="0" w:firstLine="0"/>
      <w:spacing w:after="57"/>
    </w:pPr>
  </w:style>
  <w:style w:type="paragraph" w:styleId="911">
    <w:name w:val="toc 3"/>
    <w:basedOn w:val="920"/>
    <w:next w:val="920"/>
    <w:uiPriority w:val="39"/>
    <w:unhideWhenUsed/>
    <w:pPr>
      <w:ind w:left="567" w:right="0" w:firstLine="0"/>
      <w:spacing w:after="57"/>
    </w:pPr>
  </w:style>
  <w:style w:type="paragraph" w:styleId="912">
    <w:name w:val="toc 4"/>
    <w:basedOn w:val="920"/>
    <w:next w:val="920"/>
    <w:uiPriority w:val="39"/>
    <w:unhideWhenUsed/>
    <w:pPr>
      <w:ind w:left="850" w:right="0" w:firstLine="0"/>
      <w:spacing w:after="57"/>
    </w:pPr>
  </w:style>
  <w:style w:type="paragraph" w:styleId="913">
    <w:name w:val="toc 5"/>
    <w:basedOn w:val="920"/>
    <w:next w:val="920"/>
    <w:uiPriority w:val="39"/>
    <w:unhideWhenUsed/>
    <w:pPr>
      <w:ind w:left="1134" w:right="0" w:firstLine="0"/>
      <w:spacing w:after="57"/>
    </w:pPr>
  </w:style>
  <w:style w:type="paragraph" w:styleId="914">
    <w:name w:val="toc 6"/>
    <w:basedOn w:val="920"/>
    <w:next w:val="920"/>
    <w:uiPriority w:val="39"/>
    <w:unhideWhenUsed/>
    <w:pPr>
      <w:ind w:left="1417" w:right="0" w:firstLine="0"/>
      <w:spacing w:after="57"/>
    </w:pPr>
  </w:style>
  <w:style w:type="paragraph" w:styleId="915">
    <w:name w:val="toc 7"/>
    <w:basedOn w:val="920"/>
    <w:next w:val="920"/>
    <w:uiPriority w:val="39"/>
    <w:unhideWhenUsed/>
    <w:pPr>
      <w:ind w:left="1701" w:right="0" w:firstLine="0"/>
      <w:spacing w:after="57"/>
    </w:pPr>
  </w:style>
  <w:style w:type="paragraph" w:styleId="916">
    <w:name w:val="toc 8"/>
    <w:basedOn w:val="920"/>
    <w:next w:val="920"/>
    <w:uiPriority w:val="39"/>
    <w:unhideWhenUsed/>
    <w:pPr>
      <w:ind w:left="1984" w:right="0" w:firstLine="0"/>
      <w:spacing w:after="57"/>
    </w:pPr>
  </w:style>
  <w:style w:type="paragraph" w:styleId="917">
    <w:name w:val="toc 9"/>
    <w:basedOn w:val="920"/>
    <w:next w:val="920"/>
    <w:uiPriority w:val="39"/>
    <w:unhideWhenUsed/>
    <w:pPr>
      <w:ind w:left="2268" w:right="0" w:firstLine="0"/>
      <w:spacing w:after="57"/>
    </w:pPr>
  </w:style>
  <w:style w:type="paragraph" w:styleId="918">
    <w:name w:val="TOC Heading"/>
    <w:uiPriority w:val="39"/>
    <w:unhideWhenUsed/>
  </w:style>
  <w:style w:type="paragraph" w:styleId="919">
    <w:name w:val="table of figures"/>
    <w:basedOn w:val="920"/>
    <w:next w:val="920"/>
    <w:uiPriority w:val="99"/>
    <w:unhideWhenUsed/>
    <w:pPr>
      <w:spacing w:after="0" w:afterAutospacing="0"/>
    </w:pPr>
  </w:style>
  <w:style w:type="paragraph" w:styleId="920" w:default="1">
    <w:name w:val="Normal"/>
    <w:next w:val="920"/>
    <w:link w:val="920"/>
    <w:qFormat/>
    <w:rPr>
      <w:sz w:val="24"/>
      <w:szCs w:val="24"/>
      <w:lang w:val="ru-RU" w:eastAsia="ru-RU" w:bidi="ar-SA"/>
    </w:rPr>
  </w:style>
  <w:style w:type="paragraph" w:styleId="921">
    <w:name w:val="Заголовок 1"/>
    <w:basedOn w:val="920"/>
    <w:next w:val="921"/>
    <w:link w:val="950"/>
    <w:qFormat/>
    <w:pPr>
      <w:spacing w:before="100" w:beforeAutospacing="1" w:after="100" w:afterAutospacing="1"/>
      <w:outlineLvl w:val="0"/>
    </w:pPr>
    <w:rPr>
      <w:rFonts w:ascii="Arial Unicode MS" w:hAnsi="Arial Unicode MS" w:eastAsia="Arial Unicode MS"/>
      <w:b/>
      <w:bCs/>
      <w:color w:val="000000"/>
      <w:sz w:val="48"/>
      <w:szCs w:val="48"/>
      <w:lang w:val="en-US" w:eastAsia="en-US"/>
    </w:rPr>
  </w:style>
  <w:style w:type="character" w:styleId="922">
    <w:name w:val="Основной шрифт абзаца"/>
    <w:next w:val="922"/>
    <w:link w:val="920"/>
    <w:uiPriority w:val="1"/>
    <w:unhideWhenUsed/>
  </w:style>
  <w:style w:type="table" w:styleId="923">
    <w:name w:val="Обычная таблица"/>
    <w:next w:val="923"/>
    <w:link w:val="920"/>
    <w:uiPriority w:val="99"/>
    <w:semiHidden/>
    <w:unhideWhenUsed/>
    <w:qFormat/>
    <w:tblPr/>
  </w:style>
  <w:style w:type="numbering" w:styleId="924">
    <w:name w:val="Нет списка"/>
    <w:next w:val="924"/>
    <w:link w:val="920"/>
    <w:uiPriority w:val="99"/>
    <w:semiHidden/>
    <w:unhideWhenUsed/>
  </w:style>
  <w:style w:type="paragraph" w:styleId="925">
    <w:name w:val="Стиль1"/>
    <w:basedOn w:val="920"/>
    <w:next w:val="925"/>
    <w:link w:val="920"/>
    <w:pPr>
      <w:spacing w:line="288" w:lineRule="auto"/>
    </w:pPr>
    <w:rPr>
      <w:sz w:val="28"/>
      <w:szCs w:val="20"/>
    </w:rPr>
  </w:style>
  <w:style w:type="paragraph" w:styleId="926">
    <w:name w:val="Основной текст с отступом 2"/>
    <w:basedOn w:val="920"/>
    <w:next w:val="926"/>
    <w:link w:val="920"/>
    <w:pPr>
      <w:ind w:firstLine="567"/>
      <w:jc w:val="both"/>
      <w:widowControl w:val="off"/>
    </w:pPr>
    <w:rPr>
      <w:sz w:val="28"/>
      <w:szCs w:val="28"/>
    </w:rPr>
  </w:style>
  <w:style w:type="paragraph" w:styleId="927">
    <w:name w:val="Название"/>
    <w:basedOn w:val="920"/>
    <w:next w:val="927"/>
    <w:link w:val="952"/>
    <w:qFormat/>
    <w:pPr>
      <w:spacing w:before="100" w:beforeAutospacing="1" w:after="100" w:afterAutospacing="1"/>
    </w:pPr>
    <w:rPr>
      <w:color w:val="000000"/>
      <w:lang w:val="en-US" w:eastAsia="en-US"/>
    </w:rPr>
  </w:style>
  <w:style w:type="paragraph" w:styleId="928">
    <w:name w:val="Основной текст с отступом"/>
    <w:basedOn w:val="920"/>
    <w:next w:val="928"/>
    <w:link w:val="946"/>
    <w:pPr>
      <w:spacing w:before="100" w:beforeAutospacing="1" w:after="100" w:afterAutospacing="1"/>
    </w:pPr>
    <w:rPr>
      <w:color w:val="000000"/>
      <w:lang w:val="en-US" w:eastAsia="en-US"/>
    </w:rPr>
  </w:style>
  <w:style w:type="paragraph" w:styleId="929">
    <w:name w:val="Основной текст"/>
    <w:basedOn w:val="920"/>
    <w:next w:val="929"/>
    <w:link w:val="920"/>
    <w:pPr>
      <w:jc w:val="both"/>
      <w:spacing w:before="120" w:after="120"/>
    </w:pPr>
    <w:rPr>
      <w:szCs w:val="20"/>
    </w:rPr>
  </w:style>
  <w:style w:type="paragraph" w:styleId="930">
    <w:name w:val="Основной текст с отступом 3"/>
    <w:basedOn w:val="920"/>
    <w:next w:val="930"/>
    <w:link w:val="957"/>
    <w:pPr>
      <w:ind w:firstLine="540"/>
      <w:tabs>
        <w:tab w:val="num" w:pos="0" w:leader="none"/>
      </w:tabs>
    </w:pPr>
    <w:rPr>
      <w:b/>
      <w:bCs/>
      <w:sz w:val="26"/>
      <w:lang w:val="en-US" w:eastAsia="en-US"/>
    </w:rPr>
  </w:style>
  <w:style w:type="paragraph" w:styleId="931">
    <w:name w:val="Основной текст 2"/>
    <w:basedOn w:val="920"/>
    <w:next w:val="931"/>
    <w:link w:val="956"/>
    <w:rPr>
      <w:sz w:val="26"/>
      <w:lang w:val="en-US" w:eastAsia="en-US"/>
    </w:rPr>
  </w:style>
  <w:style w:type="paragraph" w:styleId="932">
    <w:name w:val="Нижний колонтитул"/>
    <w:basedOn w:val="920"/>
    <w:next w:val="932"/>
    <w:link w:val="920"/>
    <w:pPr>
      <w:tabs>
        <w:tab w:val="center" w:pos="4677" w:leader="none"/>
        <w:tab w:val="right" w:pos="9355" w:leader="none"/>
      </w:tabs>
    </w:pPr>
  </w:style>
  <w:style w:type="character" w:styleId="933">
    <w:name w:val="Номер страницы"/>
    <w:basedOn w:val="922"/>
    <w:next w:val="933"/>
    <w:link w:val="920"/>
  </w:style>
  <w:style w:type="paragraph" w:styleId="934">
    <w:name w:val="Текст выноски"/>
    <w:basedOn w:val="920"/>
    <w:next w:val="934"/>
    <w:link w:val="920"/>
    <w:semiHidden/>
    <w:rPr>
      <w:rFonts w:ascii="Tahoma" w:hAnsi="Tahoma" w:cs="Tahoma"/>
      <w:sz w:val="16"/>
      <w:szCs w:val="16"/>
    </w:rPr>
  </w:style>
  <w:style w:type="paragraph" w:styleId="935">
    <w:name w:val="Стиль2"/>
    <w:basedOn w:val="937"/>
    <w:next w:val="935"/>
    <w:link w:val="920"/>
    <w:pPr>
      <w:numPr>
        <w:ilvl w:val="0"/>
        <w:numId w:val="0"/>
      </w:numPr>
      <w:ind w:left="576" w:hanging="576"/>
      <w:jc w:val="both"/>
      <w:keepLines/>
      <w:keepNext/>
      <w:spacing w:before="120"/>
      <w:widowControl w:val="off"/>
      <w:tabs>
        <w:tab w:val="num" w:pos="576" w:leader="none"/>
      </w:tabs>
      <w:suppressLineNumbers/>
    </w:pPr>
    <w:rPr>
      <w:b/>
      <w:szCs w:val="20"/>
    </w:rPr>
  </w:style>
  <w:style w:type="paragraph" w:styleId="936">
    <w:name w:val="Стиль3 Знак Знак"/>
    <w:basedOn w:val="926"/>
    <w:next w:val="936"/>
    <w:link w:val="920"/>
    <w:pPr>
      <w:ind w:firstLine="0"/>
      <w:spacing w:before="120"/>
      <w:tabs>
        <w:tab w:val="num" w:pos="227" w:leader="none"/>
      </w:tabs>
    </w:pPr>
    <w:rPr>
      <w:sz w:val="24"/>
      <w:szCs w:val="20"/>
    </w:rPr>
  </w:style>
  <w:style w:type="paragraph" w:styleId="937">
    <w:name w:val="Нумерованный список 2"/>
    <w:basedOn w:val="920"/>
    <w:next w:val="937"/>
    <w:link w:val="920"/>
    <w:pPr>
      <w:numPr>
        <w:ilvl w:val="0"/>
        <w:numId w:val="19"/>
      </w:numPr>
    </w:pPr>
  </w:style>
  <w:style w:type="paragraph" w:styleId="938">
    <w:name w:val="Обычный (веб),Знак2,Обычный (Web)"/>
    <w:basedOn w:val="920"/>
    <w:next w:val="938"/>
    <w:link w:val="948"/>
    <w:pPr>
      <w:spacing w:before="100" w:beforeAutospacing="1" w:after="100" w:afterAutospacing="1"/>
    </w:pPr>
  </w:style>
  <w:style w:type="paragraph" w:styleId="939">
    <w:name w:val="Знак"/>
    <w:basedOn w:val="920"/>
    <w:next w:val="939"/>
    <w:link w:val="920"/>
    <w:pPr>
      <w:jc w:val="both"/>
      <w:spacing w:after="160" w:line="240" w:lineRule="exact"/>
    </w:pPr>
    <w:rPr>
      <w:szCs w:val="20"/>
      <w:lang w:val="en-US" w:eastAsia="en-US"/>
    </w:rPr>
  </w:style>
  <w:style w:type="paragraph" w:styleId="940">
    <w:name w:val="Верхний колонтитул"/>
    <w:basedOn w:val="920"/>
    <w:next w:val="940"/>
    <w:link w:val="920"/>
    <w:pPr>
      <w:tabs>
        <w:tab w:val="center" w:pos="4677" w:leader="none"/>
        <w:tab w:val="right" w:pos="9355" w:leader="none"/>
      </w:tabs>
    </w:pPr>
  </w:style>
  <w:style w:type="paragraph" w:styleId="941">
    <w:name w:val="Подраздел"/>
    <w:basedOn w:val="920"/>
    <w:next w:val="941"/>
    <w:link w:val="920"/>
    <w:pPr>
      <w:jc w:val="center"/>
      <w:spacing w:before="240" w:after="120"/>
    </w:pPr>
    <w:rPr>
      <w:rFonts w:ascii="TimesDL" w:hAnsi="TimesDL" w:cs="TimesDL"/>
      <w:b/>
      <w:bCs/>
      <w:smallCaps/>
      <w:spacing w:val="-2"/>
    </w:rPr>
  </w:style>
  <w:style w:type="paragraph" w:styleId="942">
    <w:name w:val="Условия контракта"/>
    <w:basedOn w:val="920"/>
    <w:next w:val="942"/>
    <w:link w:val="920"/>
    <w:semiHidden/>
    <w:pPr>
      <w:numPr>
        <w:ilvl w:val="0"/>
        <w:numId w:val="20"/>
      </w:numPr>
      <w:jc w:val="both"/>
      <w:spacing w:before="240" w:after="120"/>
    </w:pPr>
    <w:rPr>
      <w:b/>
      <w:szCs w:val="20"/>
    </w:rPr>
  </w:style>
  <w:style w:type="paragraph" w:styleId="943">
    <w:name w:val="ConsPlusNormal"/>
    <w:next w:val="943"/>
    <w:link w:val="920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944">
    <w:name w:val="xl22"/>
    <w:basedOn w:val="920"/>
    <w:next w:val="944"/>
    <w:link w:val="920"/>
    <w:pPr>
      <w:jc w:val="center"/>
      <w:spacing w:before="100" w:beforeAutospacing="1" w:after="100" w:afterAutospacing="1"/>
      <w:pBdr>
        <w:top w:val="single" w:color="000000" w:sz="8" w:space="0"/>
        <w:left w:val="single" w:color="000000" w:sz="8" w:space="0"/>
        <w:bottom w:val="single" w:color="000000" w:sz="8" w:space="0"/>
      </w:pBdr>
    </w:pPr>
    <w:rPr>
      <w:rFonts w:ascii="Arial Unicode MS" w:hAnsi="Arial Unicode MS" w:eastAsia="Arial Unicode MS" w:cs="Arial Unicode MS"/>
      <w:b/>
      <w:bCs/>
    </w:rPr>
  </w:style>
  <w:style w:type="character" w:styleId="945">
    <w:name w:val="Гиперссылка"/>
    <w:next w:val="945"/>
    <w:link w:val="920"/>
    <w:rPr>
      <w:color w:val="0000ff"/>
      <w:u w:val="single"/>
    </w:rPr>
  </w:style>
  <w:style w:type="character" w:styleId="946">
    <w:name w:val="Основной текст с отступом Знак"/>
    <w:next w:val="946"/>
    <w:link w:val="928"/>
    <w:rPr>
      <w:color w:val="000000"/>
      <w:sz w:val="24"/>
      <w:szCs w:val="24"/>
    </w:rPr>
  </w:style>
  <w:style w:type="table" w:styleId="947">
    <w:name w:val="Сетка таблицы"/>
    <w:basedOn w:val="923"/>
    <w:next w:val="947"/>
    <w:link w:val="920"/>
    <w:tblPr/>
  </w:style>
  <w:style w:type="character" w:styleId="948">
    <w:name w:val="Обычный (веб) Знак,Знак2 Знак,Обычный (Web) Знак"/>
    <w:next w:val="948"/>
    <w:link w:val="938"/>
    <w:rPr>
      <w:sz w:val="24"/>
      <w:szCs w:val="24"/>
      <w:lang w:val="ru-RU" w:eastAsia="ru-RU" w:bidi="ar-SA"/>
    </w:rPr>
  </w:style>
  <w:style w:type="character" w:styleId="949">
    <w:name w:val="Знак примечания"/>
    <w:next w:val="949"/>
    <w:link w:val="920"/>
    <w:rPr>
      <w:sz w:val="16"/>
    </w:rPr>
  </w:style>
  <w:style w:type="character" w:styleId="950">
    <w:name w:val="Заголовок 1 Знак"/>
    <w:next w:val="950"/>
    <w:link w:val="921"/>
    <w:rPr>
      <w:rFonts w:ascii="Arial Unicode MS" w:hAnsi="Arial Unicode MS" w:eastAsia="Arial Unicode MS" w:cs="Arial Unicode MS"/>
      <w:b/>
      <w:bCs/>
      <w:color w:val="000000"/>
      <w:sz w:val="48"/>
      <w:szCs w:val="48"/>
    </w:rPr>
  </w:style>
  <w:style w:type="character" w:styleId="951">
    <w:name w:val="Строгий"/>
    <w:next w:val="951"/>
    <w:link w:val="920"/>
    <w:uiPriority w:val="22"/>
    <w:qFormat/>
    <w:rPr>
      <w:b/>
      <w:bCs/>
    </w:rPr>
  </w:style>
  <w:style w:type="character" w:styleId="952">
    <w:name w:val="Название Знак"/>
    <w:next w:val="952"/>
    <w:link w:val="927"/>
    <w:rPr>
      <w:color w:val="000000"/>
      <w:sz w:val="24"/>
      <w:szCs w:val="24"/>
    </w:rPr>
  </w:style>
  <w:style w:type="paragraph" w:styleId="953">
    <w:name w:val="Абзац списка"/>
    <w:basedOn w:val="920"/>
    <w:next w:val="953"/>
    <w:link w:val="958"/>
    <w:uiPriority w:val="34"/>
    <w:qFormat/>
    <w:pPr>
      <w:contextualSpacing/>
      <w:ind w:left="720"/>
    </w:pPr>
    <w:rPr>
      <w:lang w:val="en-US" w:eastAsia="en-US"/>
    </w:rPr>
  </w:style>
  <w:style w:type="character" w:styleId="954">
    <w:name w:val="Body text (7)_"/>
    <w:next w:val="954"/>
    <w:link w:val="955"/>
    <w:rPr>
      <w:shd w:val="clear" w:color="auto" w:fill="ffffff"/>
    </w:rPr>
  </w:style>
  <w:style w:type="paragraph" w:styleId="955">
    <w:name w:val="Body text (7)"/>
    <w:basedOn w:val="920"/>
    <w:next w:val="955"/>
    <w:link w:val="954"/>
    <w:pPr>
      <w:spacing w:line="0" w:lineRule="atLeast"/>
      <w:shd w:val="clear" w:color="auto" w:fill="ffffff"/>
    </w:pPr>
    <w:rPr>
      <w:sz w:val="20"/>
      <w:szCs w:val="20"/>
      <w:lang w:val="en-US" w:eastAsia="en-US"/>
    </w:rPr>
  </w:style>
  <w:style w:type="character" w:styleId="956">
    <w:name w:val="Основной текст 2 Знак"/>
    <w:next w:val="956"/>
    <w:link w:val="931"/>
    <w:rPr>
      <w:sz w:val="26"/>
      <w:szCs w:val="24"/>
    </w:rPr>
  </w:style>
  <w:style w:type="character" w:styleId="957">
    <w:name w:val="Основной текст с отступом 3 Знак"/>
    <w:next w:val="957"/>
    <w:link w:val="930"/>
    <w:rPr>
      <w:b/>
      <w:bCs/>
      <w:sz w:val="26"/>
      <w:szCs w:val="24"/>
    </w:rPr>
  </w:style>
  <w:style w:type="character" w:styleId="958">
    <w:name w:val="Абзац списка Знак"/>
    <w:next w:val="958"/>
    <w:link w:val="953"/>
    <w:uiPriority w:val="34"/>
    <w:rPr>
      <w:sz w:val="24"/>
      <w:szCs w:val="24"/>
    </w:rPr>
  </w:style>
  <w:style w:type="character" w:styleId="959" w:default="1">
    <w:name w:val="Default Paragraph Font"/>
    <w:uiPriority w:val="1"/>
    <w:semiHidden/>
    <w:unhideWhenUsed/>
  </w:style>
  <w:style w:type="numbering" w:styleId="960" w:default="1">
    <w:name w:val="No List"/>
    <w:uiPriority w:val="99"/>
    <w:semiHidden/>
    <w:unhideWhenUsed/>
  </w:style>
  <w:style w:type="table" w:styleId="961" w:default="1">
    <w:name w:val="Normal Table"/>
    <w:uiPriority w:val="99"/>
    <w:semiHidden/>
    <w:unhideWhenUsed/>
    <w:tblPr/>
  </w:style>
  <w:style w:type="paragraph" w:styleId="962" w:customStyle="1">
    <w:name w:val="Body Text Indent 3"/>
    <w:qFormat/>
    <w:pPr>
      <w:contextualSpacing w:val="0"/>
      <w:ind w:left="0" w:right="0" w:firstLine="54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0" w:leader="none"/>
        <w:tab w:val="clear" w:pos="708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63" w:customStyle="1">
    <w:name w:val="Plain Text"/>
    <w:basedOn w:val="855"/>
    <w:link w:val="95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1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Дом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dragon</dc:creator>
  <cp:revision>6</cp:revision>
  <dcterms:created xsi:type="dcterms:W3CDTF">2024-01-24T08:38:00Z</dcterms:created>
  <dcterms:modified xsi:type="dcterms:W3CDTF">2026-09-07T09:53:52Z</dcterms:modified>
  <cp:version>1048576</cp:version>
</cp:coreProperties>
</file>